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1779270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715645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350000000000001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26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2"/>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center"/>
                      </w:pPr>
                      <w:r>
                        <w:rPr>
                          <w:rStyle w:val="CharStyle3"/>
                        </w:rPr>
                        <w:tab/>
                        <w:t xml:space="preserve"> №</w:t>
                        <w:tab/>
                      </w:r>
                    </w:p>
                    <w:p>
                      <w:pPr>
                        <w:pStyle w:val="Style2"/>
                        <w:keepNext w:val="0"/>
                        <w:keepLines w:val="0"/>
                        <w:widowControl w:val="0"/>
                        <w:shd w:val="clear" w:color="auto" w:fill="auto"/>
                        <w:bidi w:val="0"/>
                        <w:spacing w:before="0" w:after="240" w:line="240" w:lineRule="auto"/>
                        <w:ind w:left="0" w:right="0" w:firstLine="0"/>
                        <w:jc w:val="center"/>
                      </w:pPr>
                      <w:r>
                        <w:rPr>
                          <w:rStyle w:val="CharStyle3"/>
                        </w:rPr>
                        <w:t xml:space="preserve">На№  от</w:t>
                      </w:r>
                    </w:p>
                  </w:txbxContent>
                </v:textbox>
                <w10:wrap type="square" side="right" anchorx="page"/>
              </v:shape>
            </w:pict>
          </mc:Fallback>
        </mc:AlternateContent>
      </w:r>
      <w:r>
        <w:drawing>
          <wp:anchor distT="152400" distB="0" distL="114300" distR="114300" simplePos="0" relativeHeight="125829381" behindDoc="0" locked="0" layoutInCell="1" allowOverlap="1">
            <wp:simplePos x="0" y="0"/>
            <wp:positionH relativeFrom="page">
              <wp:posOffset>712470</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0" w:line="240" w:lineRule="auto"/>
        <w:ind w:left="1040" w:right="0" w:firstLine="0"/>
        <w:jc w:val="left"/>
      </w:pPr>
      <w:r>
        <w:rPr>
          <w:rStyle w:val="CharStyle7"/>
        </w:rPr>
        <w:t>ФГБУ «НМИЦ ССХ им. А.Н. Бакулева»</w:t>
      </w:r>
    </w:p>
    <w:p>
      <w:pPr>
        <w:pStyle w:val="Style6"/>
        <w:keepNext w:val="0"/>
        <w:keepLines w:val="0"/>
        <w:widowControl w:val="0"/>
        <w:shd w:val="clear" w:color="auto" w:fill="auto"/>
        <w:bidi w:val="0"/>
        <w:spacing w:before="0" w:after="280" w:line="240" w:lineRule="auto"/>
        <w:ind w:left="1040" w:right="0" w:firstLine="0"/>
        <w:jc w:val="left"/>
      </w:pPr>
      <w:r>
        <w:rPr>
          <w:rStyle w:val="CharStyle7"/>
        </w:rPr>
        <w:t>Минздрава России</w:t>
      </w:r>
    </w:p>
    <w:p>
      <w:pPr>
        <w:pStyle w:val="Style6"/>
        <w:keepNext w:val="0"/>
        <w:keepLines w:val="0"/>
        <w:widowControl w:val="0"/>
        <w:shd w:val="clear" w:color="auto" w:fill="auto"/>
        <w:bidi w:val="0"/>
        <w:spacing w:before="0" w:after="280" w:line="240" w:lineRule="auto"/>
        <w:ind w:left="1040" w:right="0" w:firstLine="0"/>
        <w:jc w:val="left"/>
      </w:pPr>
      <w:r>
        <w:fldChar w:fldCharType="begin"/>
      </w:r>
      <w:r>
        <w:rPr/>
        <w:instrText> HYPERLINK "mailto:tender@bakulev.ru" </w:instrText>
      </w:r>
      <w:r>
        <w:fldChar w:fldCharType="separate"/>
      </w:r>
      <w:r>
        <w:rPr>
          <w:rStyle w:val="CharStyle7"/>
          <w:lang w:val="en-US" w:eastAsia="en-US"/>
        </w:rPr>
        <w:t>tender@bakulev.ru</w:t>
      </w:r>
      <w:r>
        <w:fldChar w:fldCharType="end"/>
      </w:r>
    </w:p>
    <w:p>
      <w:pPr>
        <w:pStyle w:val="Style6"/>
        <w:keepNext w:val="0"/>
        <w:keepLines w:val="0"/>
        <w:widowControl w:val="0"/>
        <w:shd w:val="clear" w:color="auto" w:fill="auto"/>
        <w:bidi w:val="0"/>
        <w:spacing w:before="0" w:after="280" w:line="240" w:lineRule="auto"/>
        <w:ind w:left="1040" w:right="0" w:firstLine="0"/>
        <w:jc w:val="left"/>
      </w:pPr>
      <w:r>
        <w:rPr>
          <w:rStyle w:val="CharStyle7"/>
        </w:rPr>
        <w:t>ООО «Комплект-Сервис»</w:t>
      </w:r>
    </w:p>
    <w:p>
      <w:pPr>
        <w:pStyle w:val="Style6"/>
        <w:keepNext w:val="0"/>
        <w:keepLines w:val="0"/>
        <w:widowControl w:val="0"/>
        <w:shd w:val="clear" w:color="auto" w:fill="auto"/>
        <w:bidi w:val="0"/>
        <w:spacing w:before="0" w:after="280" w:line="240" w:lineRule="auto"/>
        <w:ind w:left="1040" w:right="0" w:firstLine="0"/>
        <w:jc w:val="left"/>
      </w:pPr>
      <w:r>
        <w:fldChar w:fldCharType="begin"/>
      </w:r>
      <w:r>
        <w:rPr/>
        <w:instrText> HYPERLINK "mailto:komplektservis.n@gmail.com" </w:instrText>
      </w:r>
      <w:r>
        <w:fldChar w:fldCharType="separate"/>
      </w:r>
      <w:r>
        <w:rPr>
          <w:rStyle w:val="CharStyle7"/>
          <w:lang w:val="en-US" w:eastAsia="en-US"/>
        </w:rPr>
        <w:t>komplektservis.n@gmail.com</w:t>
      </w:r>
      <w:r>
        <w:fldChar w:fldCharType="end"/>
      </w:r>
    </w:p>
    <w:p>
      <w:pPr>
        <w:pStyle w:val="Style6"/>
        <w:keepNext w:val="0"/>
        <w:keepLines w:val="0"/>
        <w:widowControl w:val="0"/>
        <w:shd w:val="clear" w:color="auto" w:fill="auto"/>
        <w:bidi w:val="0"/>
        <w:spacing w:before="0" w:after="280" w:line="240" w:lineRule="auto"/>
        <w:ind w:left="1040" w:right="0" w:firstLine="0"/>
        <w:jc w:val="left"/>
      </w:pPr>
      <w:r>
        <w:rPr>
          <w:rStyle w:val="CharStyle7"/>
        </w:rPr>
        <w:t>ООО «РМ-Системс»</w:t>
      </w:r>
    </w:p>
    <w:p>
      <w:pPr>
        <w:pStyle w:val="Style6"/>
        <w:keepNext w:val="0"/>
        <w:keepLines w:val="0"/>
        <w:widowControl w:val="0"/>
        <w:shd w:val="clear" w:color="auto" w:fill="auto"/>
        <w:bidi w:val="0"/>
        <w:spacing w:before="0" w:after="280" w:line="240" w:lineRule="auto"/>
        <w:ind w:left="5320" w:right="0" w:firstLine="0"/>
        <w:jc w:val="left"/>
      </w:pPr>
      <w:r>
        <w:fldChar w:fldCharType="begin"/>
      </w:r>
      <w:r>
        <w:rPr/>
        <w:instrText> HYPERLINK "mailto:rms.torgi@gmail.com" </w:instrText>
      </w:r>
      <w:r>
        <w:fldChar w:fldCharType="separate"/>
      </w:r>
      <w:r>
        <w:rPr>
          <w:rStyle w:val="CharStyle7"/>
          <w:lang w:val="en-US" w:eastAsia="en-US"/>
        </w:rPr>
        <w:t>rms.torgi@gmail.com</w:t>
      </w:r>
      <w:r>
        <w:fldChar w:fldCharType="end"/>
      </w:r>
    </w:p>
    <w:p>
      <w:pPr>
        <w:pStyle w:val="Style6"/>
        <w:keepNext w:val="0"/>
        <w:keepLines w:val="0"/>
        <w:widowControl w:val="0"/>
        <w:shd w:val="clear" w:color="auto" w:fill="auto"/>
        <w:bidi w:val="0"/>
        <w:spacing w:before="0" w:after="280" w:line="240" w:lineRule="auto"/>
        <w:ind w:left="5320" w:right="0" w:firstLine="0"/>
        <w:jc w:val="left"/>
      </w:pPr>
      <w:r>
        <w:rPr>
          <w:rStyle w:val="CharStyle7"/>
        </w:rPr>
        <w:t>ООО «РТС-тендер»</w:t>
      </w:r>
    </w:p>
    <w:p>
      <w:pPr>
        <w:pStyle w:val="Style6"/>
        <w:keepNext w:val="0"/>
        <w:keepLines w:val="0"/>
        <w:widowControl w:val="0"/>
        <w:shd w:val="clear" w:color="auto" w:fill="auto"/>
        <w:bidi w:val="0"/>
        <w:spacing w:before="0" w:after="520" w:line="240" w:lineRule="auto"/>
        <w:ind w:left="5320" w:right="0" w:firstLine="0"/>
        <w:jc w:val="left"/>
      </w:pPr>
      <w:r>
        <w:fldChar w:fldCharType="begin"/>
      </w:r>
      <w:r>
        <w:rPr/>
        <w:instrText> HYPERLINK "mailto:info@rts-tender.ru" </w:instrText>
      </w:r>
      <w:r>
        <w:fldChar w:fldCharType="separate"/>
      </w:r>
      <w:r>
        <w:rPr>
          <w:rStyle w:val="CharStyle7"/>
          <w:lang w:val="en-US" w:eastAsia="en-US"/>
        </w:rPr>
        <w:t>info@rts-tender.ru</w:t>
      </w:r>
      <w:r>
        <w:fldChar w:fldCharType="end"/>
      </w:r>
    </w:p>
    <w:p>
      <w:pPr>
        <w:pStyle w:val="Style6"/>
        <w:keepNext w:val="0"/>
        <w:keepLines w:val="0"/>
        <w:widowControl w:val="0"/>
        <w:shd w:val="clear" w:color="auto" w:fill="auto"/>
        <w:bidi w:val="0"/>
        <w:spacing w:before="0" w:after="80" w:line="240" w:lineRule="auto"/>
        <w:ind w:left="0" w:right="0" w:firstLine="0"/>
        <w:jc w:val="center"/>
      </w:pPr>
      <w:r>
        <w:rPr>
          <w:rStyle w:val="CharStyle7"/>
          <w:b/>
          <w:bCs/>
        </w:rPr>
        <w:t>РЕШЕНИЕ</w:t>
      </w:r>
    </w:p>
    <w:p>
      <w:pPr>
        <w:pStyle w:val="Style6"/>
        <w:keepNext w:val="0"/>
        <w:keepLines w:val="0"/>
        <w:widowControl w:val="0"/>
        <w:shd w:val="clear" w:color="auto" w:fill="auto"/>
        <w:tabs>
          <w:tab w:pos="8813" w:val="left"/>
        </w:tabs>
        <w:bidi w:val="0"/>
        <w:spacing w:before="0" w:after="0" w:line="240" w:lineRule="auto"/>
        <w:ind w:left="0" w:right="0" w:firstLine="0"/>
        <w:jc w:val="center"/>
      </w:pPr>
      <w:r>
        <w:rPr>
          <w:rStyle w:val="CharStyle7"/>
          <w:b/>
          <w:bCs/>
        </w:rPr>
        <w:t>по делу №077/06/105-5763/2026 о нарушении</w:t>
        <w:br/>
        <w:t>законодательства о контрактной системе</w:t>
        <w:br/>
        <w:t>08.05.2026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государственного инспектора отдела обжалования государственных закупок А.А. Матюшенко</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видео-конференц-связи) при участии представителей: ФГБУ «НМИЦ ССХ им. А.Н. Бакулева» Минздрава России: Федяевой А.С. (дов.№446 от 05.05.2026), Скачко Ю.Ю. (дов.№448 от 06.05.2026), ООО «РМ-Системс»: Толмачева Д.Н. (дов.№5 от 04.02.2026), ООО «Комплект-Сервис»: Косарева А.А. (дов.№б/н от 20.08.2025), Малышева К.К. (дов.№б/н от 18.08.2025),</w:t>
      </w:r>
    </w:p>
    <w:p>
      <w:pPr>
        <w:pStyle w:val="Style6"/>
        <w:keepNext w:val="0"/>
        <w:keepLines w:val="0"/>
        <w:widowControl w:val="0"/>
        <w:shd w:val="clear" w:color="auto" w:fill="auto"/>
        <w:bidi w:val="0"/>
        <w:spacing w:before="0" w:after="280" w:line="240" w:lineRule="auto"/>
        <w:ind w:left="0" w:right="0" w:firstLine="700"/>
        <w:jc w:val="both"/>
      </w:pPr>
      <w:r>
        <w:rPr>
          <w:rStyle w:val="CharStyle7"/>
        </w:rPr>
        <w:t>рассмотрев жалобу ООО «Комплект-Сервис» (далее — Заявитель) на действия ФГБУ «НМИЦ ССХ ИМ. А.Н. Бакулева» Минздрава России (далее - Заказчик) при проведении электронного аукциона на право заключения государственного контракта на поставку медицинских изделий (Закупка №0373100095226000348)</w:t>
      </w:r>
    </w:p>
    <w:p>
      <w:pPr>
        <w:pStyle w:val="Style6"/>
        <w:keepNext w:val="0"/>
        <w:keepLines w:val="0"/>
        <w:widowControl w:val="0"/>
        <w:shd w:val="clear" w:color="auto" w:fill="auto"/>
        <w:bidi w:val="0"/>
        <w:spacing w:before="0" w:after="300" w:line="240" w:lineRule="auto"/>
        <w:ind w:left="0" w:right="0" w:firstLine="0"/>
        <w:jc w:val="both"/>
      </w:pPr>
      <w:r>
        <w:rPr>
          <w:rStyle w:val="CharStyle7"/>
        </w:rPr>
        <w:t xml:space="preserve">(далее </w:t>
      </w:r>
      <w:r>
        <w:rPr>
          <w:rStyle w:val="CharStyle7"/>
          <w:lang w:val="en-US" w:eastAsia="en-US"/>
        </w:rPr>
        <w:t xml:space="preserve">— </w:t>
      </w:r>
      <w:r>
        <w:rPr>
          <w:rStyle w:val="CharStyle7"/>
        </w:rPr>
        <w:t xml:space="preserve">аукцион),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line="254"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54" w:lineRule="auto"/>
        <w:ind w:left="0" w:right="0" w:firstLine="720"/>
        <w:jc w:val="both"/>
      </w:pPr>
      <w:r>
        <w:rPr>
          <w:rStyle w:val="CharStyle7"/>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6"/>
        <w:keepNext w:val="0"/>
        <w:keepLines w:val="0"/>
        <w:widowControl w:val="0"/>
        <w:shd w:val="clear" w:color="auto" w:fill="auto"/>
        <w:bidi w:val="0"/>
        <w:spacing w:before="0" w:after="0" w:line="254" w:lineRule="auto"/>
        <w:ind w:left="0" w:right="0" w:firstLine="72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54" w:lineRule="auto"/>
        <w:ind w:left="0" w:right="0" w:firstLine="720"/>
        <w:jc w:val="both"/>
      </w:pPr>
      <w:r>
        <w:rPr>
          <w:rStyle w:val="CharStyle7"/>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участника закупки ООО «Комплект-Сервис».</w:t>
      </w:r>
    </w:p>
    <w:p>
      <w:pPr>
        <w:pStyle w:val="Style6"/>
        <w:keepNext w:val="0"/>
        <w:keepLines w:val="0"/>
        <w:widowControl w:val="0"/>
        <w:shd w:val="clear" w:color="auto" w:fill="auto"/>
        <w:bidi w:val="0"/>
        <w:spacing w:before="0" w:after="0" w:line="254" w:lineRule="auto"/>
        <w:ind w:left="0" w:right="0" w:firstLine="720"/>
        <w:jc w:val="both"/>
      </w:pPr>
      <w:r>
        <w:rPr>
          <w:rStyle w:val="CharStyle7"/>
          <w:lang w:val="en-US" w:eastAsia="en-US"/>
        </w:rPr>
        <w:t xml:space="preserve">1. </w:t>
      </w: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28.04.2026 </w:t>
      </w:r>
      <w:r>
        <w:rPr>
          <w:rStyle w:val="CharStyle7"/>
        </w:rPr>
        <w:t xml:space="preserve">№ИЭА1 заявка участника закупки ООО «Комплект-Сервис», с идентификационным номером </w:t>
      </w:r>
      <w:r>
        <w:rPr>
          <w:rStyle w:val="CharStyle7"/>
          <w:lang w:val="en-US" w:eastAsia="en-US"/>
        </w:rPr>
        <w:t xml:space="preserve">121111006, </w:t>
      </w:r>
      <w:r>
        <w:rPr>
          <w:rStyle w:val="CharStyle7"/>
        </w:rPr>
        <w:t>отклонена комиссией по осуществлению закупок Заказчика на следующем основании: «</w:t>
      </w:r>
      <w:r>
        <w:rPr>
          <w:rStyle w:val="CharStyle7"/>
          <w:i/>
          <w:iCs/>
        </w:rPr>
        <w:t xml:space="preserve">Выявление недостоверной информации, содержащейся в заявке на участие в закупке (Отклонение по п. </w:t>
      </w:r>
      <w:r>
        <w:rPr>
          <w:rStyle w:val="CharStyle7"/>
          <w:i/>
          <w:iCs/>
          <w:lang w:val="en-US" w:eastAsia="en-US"/>
        </w:rPr>
        <w:t xml:space="preserve">8 </w:t>
      </w:r>
      <w:r>
        <w:rPr>
          <w:rStyle w:val="CharStyle7"/>
          <w:i/>
          <w:iCs/>
        </w:rPr>
        <w:t xml:space="preserve">ч. </w:t>
      </w:r>
      <w:r>
        <w:rPr>
          <w:rStyle w:val="CharStyle7"/>
          <w:i/>
          <w:iCs/>
          <w:lang w:val="en-US" w:eastAsia="en-US"/>
        </w:rPr>
        <w:t xml:space="preserve">12 </w:t>
      </w:r>
      <w:r>
        <w:rPr>
          <w:rStyle w:val="CharStyle7"/>
          <w:i/>
          <w:iCs/>
        </w:rPr>
        <w:t xml:space="preserve">ст. </w:t>
      </w:r>
      <w:r>
        <w:rPr>
          <w:rStyle w:val="CharStyle7"/>
          <w:i/>
          <w:iCs/>
          <w:lang w:val="en-US" w:eastAsia="en-US"/>
        </w:rPr>
        <w:t xml:space="preserve">48 </w:t>
      </w:r>
      <w:r>
        <w:rPr>
          <w:rStyle w:val="CharStyle7"/>
          <w:i/>
          <w:iCs/>
        </w:rPr>
        <w:t xml:space="preserve">Закона </w:t>
      </w:r>
      <w:r>
        <w:rPr>
          <w:rStyle w:val="CharStyle7"/>
          <w:i/>
          <w:iCs/>
          <w:lang w:val="en-US" w:eastAsia="en-US"/>
        </w:rPr>
        <w:t xml:space="preserve">№ </w:t>
      </w:r>
      <w:r>
        <w:rPr>
          <w:rStyle w:val="CharStyle7"/>
          <w:i/>
          <w:iCs/>
        </w:rPr>
        <w:t xml:space="preserve">44-ФЗ), а именно, в заявке Участника по пунктам </w:t>
      </w:r>
      <w:r>
        <w:rPr>
          <w:rStyle w:val="CharStyle7"/>
          <w:i/>
          <w:iCs/>
          <w:lang w:val="en-US" w:eastAsia="en-US"/>
        </w:rPr>
        <w:t xml:space="preserve">1, 2, 3 </w:t>
      </w:r>
      <w:r>
        <w:rPr>
          <w:rStyle w:val="CharStyle7"/>
          <w:i/>
          <w:iCs/>
        </w:rPr>
        <w:t xml:space="preserve">Технических требований указано "Встроенный кабель с четырехконтактными разъемами, совместимыми с соединительными кабелями Комбитранс производства Б.Браун Мельзунген АГ, имеющимися у заказчика </w:t>
      </w:r>
      <w:r>
        <w:rPr>
          <w:rStyle w:val="CharStyle7"/>
          <w:i/>
          <w:iCs/>
          <w:lang w:val="en-US" w:eastAsia="en-US"/>
        </w:rPr>
        <w:t xml:space="preserve">- </w:t>
      </w:r>
      <w:r>
        <w:rPr>
          <w:rStyle w:val="CharStyle7"/>
          <w:i/>
          <w:iCs/>
        </w:rPr>
        <w:t xml:space="preserve">Соответствие (Наличие)", вместе с тем приложено регистрационное удостоверение РЗН </w:t>
      </w:r>
      <w:r>
        <w:rPr>
          <w:rStyle w:val="CharStyle7"/>
          <w:i/>
          <w:iCs/>
          <w:lang w:val="en-US" w:eastAsia="en-US"/>
        </w:rPr>
        <w:t xml:space="preserve">2025/25715, </w:t>
      </w:r>
      <w:r>
        <w:rPr>
          <w:rStyle w:val="CharStyle7"/>
          <w:i/>
          <w:iCs/>
        </w:rPr>
        <w:t xml:space="preserve">производитель ООО "ВАЙТ Медикал". Согласно информационному письму от </w:t>
      </w:r>
      <w:r>
        <w:rPr>
          <w:rStyle w:val="CharStyle7"/>
          <w:i/>
          <w:iCs/>
          <w:lang w:val="en-US" w:eastAsia="en-US"/>
        </w:rPr>
        <w:t xml:space="preserve">28.04.2026 № 862/26 </w:t>
      </w:r>
      <w:r>
        <w:rPr>
          <w:rStyle w:val="CharStyle7"/>
          <w:i/>
          <w:iCs/>
        </w:rPr>
        <w:t>ББМ, полученному от производителя Б.Браун Мельзунген АГ использование наборов для инвазивного измерения давления других производителей запрещено, т.к. они являются несовместимыми, что может привести к существенной погрешности при измерении АД и ЦВД, а также привести к искажению при отображении показателей на мониторе, что, в свою очередь, может привести к значительному ухудшению состояния пациента и сопутствующим осложнениям при проведении терапии</w:t>
      </w:r>
      <w:r>
        <w:rPr>
          <w:rStyle w:val="CharStyle7"/>
        </w:rPr>
        <w:t>».</w:t>
      </w:r>
    </w:p>
    <w:p>
      <w:pPr>
        <w:pStyle w:val="Style6"/>
        <w:keepNext w:val="0"/>
        <w:keepLines w:val="0"/>
        <w:widowControl w:val="0"/>
        <w:shd w:val="clear" w:color="auto" w:fill="auto"/>
        <w:bidi w:val="0"/>
        <w:spacing w:before="0" w:after="0" w:line="254" w:lineRule="auto"/>
        <w:ind w:left="0" w:right="0" w:firstLine="720"/>
        <w:jc w:val="both"/>
      </w:pPr>
      <w:r>
        <w:rPr>
          <w:rStyle w:val="CharStyle7"/>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6"/>
        <w:keepNext w:val="0"/>
        <w:keepLines w:val="0"/>
        <w:widowControl w:val="0"/>
        <w:shd w:val="clear" w:color="auto" w:fill="auto"/>
        <w:bidi w:val="0"/>
        <w:spacing w:before="0" w:after="300" w:line="259" w:lineRule="auto"/>
        <w:ind w:left="0" w:right="0" w:firstLine="720"/>
        <w:jc w:val="both"/>
        <w:rPr>
          <w:sz w:val="24"/>
          <w:szCs w:val="24"/>
        </w:rPr>
      </w:pPr>
      <w:r>
        <w:rPr>
          <w:rStyle w:val="CharStyle7"/>
        </w:rPr>
        <w:t xml:space="preserve">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w:t>
      </w:r>
      <w:r>
        <w:rPr>
          <w:rStyle w:val="CharStyle7"/>
          <w:sz w:val="24"/>
          <w:szCs w:val="24"/>
          <w:lang w:val="en-US" w:eastAsia="en-US"/>
        </w:rPr>
        <w:t>2026-23860</w:t>
      </w:r>
    </w:p>
    <w:p>
      <w:pPr>
        <w:pStyle w:val="Style6"/>
        <w:keepNext w:val="0"/>
        <w:keepLines w:val="0"/>
        <w:widowControl w:val="0"/>
        <w:shd w:val="clear" w:color="auto" w:fill="auto"/>
        <w:bidi w:val="0"/>
        <w:spacing w:before="0" w:after="0" w:line="254" w:lineRule="auto"/>
        <w:ind w:left="0" w:right="0" w:firstLine="0"/>
        <w:jc w:val="both"/>
      </w:pPr>
      <w:r>
        <w:rPr>
          <w:rStyle w:val="CharStyle7"/>
        </w:rPr>
        <w:t>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Комиссией Управления определено, что, согласно описанию объекта закупки, Заказчиком установлены в том числе следующие требования к закупаемому изделию например по п.«Набор с датчиком для измерения артериального давления», товарная позиция с идентификатором </w:t>
      </w:r>
      <w:r>
        <w:rPr>
          <w:rStyle w:val="CharStyle7"/>
          <w:lang w:val="en-US" w:eastAsia="en-US"/>
        </w:rPr>
        <w:t xml:space="preserve">211723716: </w:t>
      </w:r>
      <w:r>
        <w:rPr>
          <w:rStyle w:val="CharStyle7"/>
        </w:rPr>
        <w:t>«Встроенный кабель с четырехконтактным разъемом, совместимый с соединительным кабелем Комбитранс производства Б.Браун Мельзунген АГ, имеющимся у заказчика: Наличие».</w:t>
      </w:r>
    </w:p>
    <w:p>
      <w:pPr>
        <w:pStyle w:val="Style6"/>
        <w:keepNext w:val="0"/>
        <w:keepLines w:val="0"/>
        <w:widowControl w:val="0"/>
        <w:shd w:val="clear" w:color="auto" w:fill="auto"/>
        <w:bidi w:val="0"/>
        <w:spacing w:before="0" w:after="0" w:line="254" w:lineRule="auto"/>
        <w:ind w:left="0" w:right="0" w:firstLine="700"/>
        <w:jc w:val="both"/>
      </w:pPr>
      <w:r>
        <w:rPr>
          <w:rStyle w:val="CharStyle7"/>
        </w:rPr>
        <w:t>Согласно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54" w:lineRule="auto"/>
        <w:ind w:left="0" w:right="0" w:firstLine="700"/>
        <w:jc w:val="both"/>
      </w:pPr>
      <w:r>
        <w:rPr>
          <w:rStyle w:val="CharStyle7"/>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пп.«а» </w:t>
      </w:r>
      <w:r>
        <w:rPr>
          <w:rStyle w:val="CharStyle7"/>
          <w:lang w:val="en-US" w:eastAsia="en-US"/>
        </w:rPr>
        <w:t xml:space="preserve">- </w:t>
      </w:r>
      <w:r>
        <w:rPr>
          <w:rStyle w:val="CharStyle7"/>
        </w:rPr>
        <w:t>«в» п.2, п.5 ч.1 ст.43 Закона о контрактной системе. Заявка также может содержать информацию и документы, предусмотренные пп.«д» п.2 ч.1 ст.43 Закона о контрактной системе.</w:t>
      </w:r>
    </w:p>
    <w:p>
      <w:pPr>
        <w:pStyle w:val="Style6"/>
        <w:keepNext w:val="0"/>
        <w:keepLines w:val="0"/>
        <w:widowControl w:val="0"/>
        <w:shd w:val="clear" w:color="auto" w:fill="auto"/>
        <w:bidi w:val="0"/>
        <w:spacing w:before="0" w:after="0" w:line="254" w:lineRule="auto"/>
        <w:ind w:left="0" w:right="0" w:firstLine="700"/>
        <w:jc w:val="both"/>
      </w:pPr>
      <w:r>
        <w:rPr>
          <w:rStyle w:val="CharStyle7"/>
        </w:rPr>
        <w:t>В соответствии с п.2 ч.1 ст.43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426" w:val="left"/>
        </w:tabs>
        <w:bidi w:val="0"/>
        <w:spacing w:before="0" w:after="0" w:line="254" w:lineRule="auto"/>
        <w:ind w:left="0" w:right="0" w:firstLine="700"/>
        <w:jc w:val="both"/>
      </w:pPr>
      <w:r>
        <w:rPr>
          <w:rStyle w:val="CharStyle7"/>
        </w:rPr>
        <w:t xml:space="preserve">с учетом положений ч.2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7"/>
          <w:lang w:val="en-US" w:eastAsia="en-US"/>
        </w:rPr>
        <w:t xml:space="preserve">2 </w:t>
      </w:r>
      <w:r>
        <w:rPr>
          <w:rStyle w:val="CharStyle7"/>
        </w:rPr>
        <w:t xml:space="preserve">ст. </w:t>
      </w:r>
      <w:r>
        <w:rPr>
          <w:rStyle w:val="CharStyle7"/>
          <w:lang w:val="en-US" w:eastAsia="en-US"/>
        </w:rPr>
        <w:t xml:space="preserve">33 </w:t>
      </w:r>
      <w:r>
        <w:rPr>
          <w:rStyle w:val="CharStyle7"/>
        </w:rPr>
        <w:t>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426" w:val="left"/>
        </w:tabs>
        <w:bidi w:val="0"/>
        <w:spacing w:before="0" w:after="0" w:line="254" w:lineRule="auto"/>
        <w:ind w:left="0" w:right="0" w:firstLine="700"/>
        <w:jc w:val="both"/>
      </w:pPr>
      <w:r>
        <w:rPr>
          <w:rStyle w:val="CharStyle7"/>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ч.2 ст.43 Закона о контрактной системе;</w:t>
      </w:r>
    </w:p>
    <w:p>
      <w:pPr>
        <w:pStyle w:val="Style6"/>
        <w:keepNext w:val="0"/>
        <w:keepLines w:val="0"/>
        <w:widowControl w:val="0"/>
        <w:numPr>
          <w:ilvl w:val="0"/>
          <w:numId w:val="1"/>
        </w:numPr>
        <w:shd w:val="clear" w:color="auto" w:fill="auto"/>
        <w:tabs>
          <w:tab w:pos="1426" w:val="left"/>
        </w:tabs>
        <w:bidi w:val="0"/>
        <w:spacing w:before="0" w:after="0" w:line="262" w:lineRule="auto"/>
        <w:ind w:left="0" w:right="0" w:firstLine="700"/>
        <w:jc w:val="both"/>
        <w:rPr>
          <w:sz w:val="24"/>
          <w:szCs w:val="24"/>
        </w:rPr>
      </w:pPr>
      <w:r>
        <w:rPr>
          <w:rStyle w:val="CharStyle7"/>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w:t>
      </w:r>
      <w:r>
        <w:rPr>
          <w:rStyle w:val="CharStyle7"/>
          <w:sz w:val="24"/>
          <w:szCs w:val="24"/>
          <w:lang w:val="en-US" w:eastAsia="en-US"/>
        </w:rPr>
        <w:t>2026-23860</w:t>
      </w:r>
    </w:p>
    <w:p>
      <w:pPr>
        <w:pStyle w:val="Style6"/>
        <w:keepNext w:val="0"/>
        <w:keepLines w:val="0"/>
        <w:widowControl w:val="0"/>
        <w:shd w:val="clear" w:color="auto" w:fill="auto"/>
        <w:bidi w:val="0"/>
        <w:spacing w:before="0" w:after="0"/>
        <w:ind w:left="0" w:right="0" w:firstLine="0"/>
        <w:jc w:val="left"/>
      </w:pPr>
      <w:r>
        <w:rPr>
          <w:rStyle w:val="CharStyle7"/>
        </w:rPr>
        <w:t>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7"/>
        </w:rPr>
        <w:t xml:space="preserve">с учетом положений ч.2 ст.43 Закона о контрактной системе предложение по критериям, предусмотренным п.2 и (или) </w:t>
      </w:r>
      <w:r>
        <w:rPr>
          <w:rStyle w:val="CharStyle7"/>
          <w:lang w:val="en-US" w:eastAsia="en-US"/>
        </w:rPr>
        <w:t xml:space="preserve">3 </w:t>
      </w:r>
      <w:r>
        <w:rPr>
          <w:rStyle w:val="CharStyle7"/>
        </w:rPr>
        <w:t>ч.1 ст.32 Закона о контрактной системе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426" w:val="left"/>
        </w:tabs>
        <w:bidi w:val="0"/>
        <w:spacing w:before="0" w:after="0"/>
        <w:ind w:left="0" w:right="0" w:firstLine="700"/>
        <w:jc w:val="both"/>
      </w:pPr>
      <w:r>
        <w:rPr>
          <w:rStyle w:val="CharStyle7"/>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в силу ч.4 ст.38 Федерального закона «Об основах охраны здоровья граждан в Российской Федерации» от </w:t>
      </w:r>
      <w:r>
        <w:rPr>
          <w:rStyle w:val="CharStyle7"/>
          <w:lang w:val="en-US" w:eastAsia="en-US"/>
        </w:rPr>
        <w:t xml:space="preserve">21.11.2011 </w:t>
      </w:r>
      <w:r>
        <w:rPr>
          <w:rStyle w:val="CharStyle7"/>
        </w:rPr>
        <w:t xml:space="preserve">№323-ФЗ (далее </w:t>
      </w:r>
      <w:r>
        <w:rPr>
          <w:rStyle w:val="CharStyle7"/>
          <w:lang w:val="en-US" w:eastAsia="en-US"/>
        </w:rPr>
        <w:t xml:space="preserve">— </w:t>
      </w:r>
      <w:r>
        <w:rPr>
          <w:rStyle w:val="CharStyle7"/>
        </w:rPr>
        <w:t>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6"/>
        <w:keepNext w:val="0"/>
        <w:keepLines w:val="0"/>
        <w:widowControl w:val="0"/>
        <w:shd w:val="clear" w:color="auto" w:fill="auto"/>
        <w:bidi w:val="0"/>
        <w:spacing w:before="0" w:after="0"/>
        <w:ind w:left="0" w:right="0" w:firstLine="700"/>
        <w:jc w:val="both"/>
      </w:pPr>
      <w:r>
        <w:rPr>
          <w:rStyle w:val="CharStyle7"/>
        </w:rPr>
        <w:t xml:space="preserve">П.1 Постановления Правительства РФ от </w:t>
      </w:r>
      <w:r>
        <w:rPr>
          <w:rStyle w:val="CharStyle7"/>
          <w:lang w:val="en-US" w:eastAsia="en-US"/>
        </w:rPr>
        <w:t xml:space="preserve">30.11.2024 №1684 </w:t>
      </w:r>
      <w:r>
        <w:rPr>
          <w:rStyle w:val="CharStyle7"/>
        </w:rPr>
        <w:t xml:space="preserve">«Об утверждении Правил государственной регистрации медицинских изделий»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№1684) </w:t>
      </w:r>
      <w:r>
        <w:rPr>
          <w:rStyle w:val="CharStyle7"/>
        </w:rPr>
        <w:t xml:space="preserve">утверждены Правила государственной регистрации медицинских изделий (далее </w:t>
      </w:r>
      <w:r>
        <w:rPr>
          <w:rStyle w:val="CharStyle7"/>
          <w:lang w:val="en-US" w:eastAsia="en-US"/>
        </w:rPr>
        <w:t xml:space="preserve">— </w:t>
      </w:r>
      <w:r>
        <w:rPr>
          <w:rStyle w:val="CharStyle7"/>
        </w:rPr>
        <w:t>Правила).</w:t>
      </w:r>
    </w:p>
    <w:p>
      <w:pPr>
        <w:pStyle w:val="Style6"/>
        <w:keepNext w:val="0"/>
        <w:keepLines w:val="0"/>
        <w:widowControl w:val="0"/>
        <w:shd w:val="clear" w:color="auto" w:fill="auto"/>
        <w:bidi w:val="0"/>
        <w:spacing w:before="0" w:after="0"/>
        <w:ind w:left="0" w:right="0" w:firstLine="700"/>
        <w:jc w:val="both"/>
      </w:pPr>
      <w:r>
        <w:rPr>
          <w:rStyle w:val="CharStyle7"/>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62" w:lineRule="auto"/>
        <w:ind w:left="0" w:right="0" w:firstLine="700"/>
        <w:jc w:val="both"/>
        <w:rPr>
          <w:sz w:val="24"/>
          <w:szCs w:val="24"/>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098" w:right="537" w:bottom="733" w:left="1091" w:header="0" w:footer="3" w:gutter="0"/>
          <w:pgNumType w:start="1"/>
          <w:cols w:space="720"/>
          <w:noEndnote/>
          <w:titlePg/>
          <w:rtlGutter w:val="0"/>
          <w:docGrid w:linePitch="360"/>
        </w:sectPr>
      </w:pPr>
      <w:r>
        <w:rPr>
          <w:rStyle w:val="CharStyle7"/>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7"/>
          <w:lang w:val="en-US" w:eastAsia="en-US"/>
        </w:rPr>
        <w:t xml:space="preserve">- </w:t>
      </w:r>
      <w:r>
        <w:rPr>
          <w:rStyle w:val="CharStyle7"/>
        </w:rPr>
        <w:t xml:space="preserve">реестровая запись). </w:t>
      </w:r>
      <w:r>
        <w:rPr>
          <w:rStyle w:val="CharStyle7"/>
          <w:sz w:val="24"/>
          <w:szCs w:val="24"/>
          <w:lang w:val="en-US" w:eastAsia="en-US"/>
        </w:rPr>
        <w:t>2026-23860</w:t>
      </w:r>
    </w:p>
    <w:p>
      <w:pPr>
        <w:pStyle w:val="Style6"/>
        <w:keepNext w:val="0"/>
        <w:keepLines w:val="0"/>
        <w:widowControl w:val="0"/>
        <w:shd w:val="clear" w:color="auto" w:fill="auto"/>
        <w:bidi w:val="0"/>
        <w:spacing w:before="0" w:after="0"/>
        <w:ind w:left="0" w:right="0" w:firstLine="720"/>
        <w:jc w:val="both"/>
      </w:pPr>
      <w:r>
        <w:rPr>
          <w:rStyle w:val="CharStyle7"/>
        </w:rPr>
        <w:t xml:space="preserve">Вместе с этим п.2 Постановления </w:t>
      </w:r>
      <w:r>
        <w:rPr>
          <w:rStyle w:val="CharStyle7"/>
          <w:lang w:val="en-US" w:eastAsia="en-US"/>
        </w:rPr>
        <w:t xml:space="preserve">№1684 </w:t>
      </w:r>
      <w:r>
        <w:rPr>
          <w:rStyle w:val="CharStyle7"/>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ind w:left="0" w:right="0" w:firstLine="720"/>
        <w:jc w:val="both"/>
      </w:pPr>
      <w:r>
        <w:rPr>
          <w:rStyle w:val="CharStyle7"/>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7"/>
          <w:lang w:val="en-US" w:eastAsia="en-US"/>
        </w:rPr>
        <w:t xml:space="preserve">№1684, </w:t>
      </w:r>
      <w:r>
        <w:rPr>
          <w:rStyle w:val="CharStyle7"/>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6"/>
        <w:keepNext w:val="0"/>
        <w:keepLines w:val="0"/>
        <w:widowControl w:val="0"/>
        <w:shd w:val="clear" w:color="auto" w:fill="auto"/>
        <w:bidi w:val="0"/>
        <w:spacing w:before="0" w:after="0"/>
        <w:ind w:left="0" w:right="0" w:firstLine="720"/>
        <w:jc w:val="both"/>
      </w:pPr>
      <w:r>
        <w:rPr>
          <w:rStyle w:val="CharStyle7"/>
        </w:rPr>
        <w:t xml:space="preserve">Постановлением Правительства Российской Федерации от </w:t>
      </w:r>
      <w:r>
        <w:rPr>
          <w:rStyle w:val="CharStyle7"/>
          <w:lang w:val="en-US" w:eastAsia="en-US"/>
        </w:rPr>
        <w:t xml:space="preserve">27.12.2012 № 1416 </w:t>
      </w:r>
      <w:r>
        <w:rPr>
          <w:rStyle w:val="CharStyle7"/>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7"/>
          <w:lang w:val="en-US" w:eastAsia="en-US"/>
        </w:rPr>
        <w:t xml:space="preserve">— </w:t>
      </w:r>
      <w:r>
        <w:rPr>
          <w:rStyle w:val="CharStyle7"/>
        </w:rPr>
        <w:t xml:space="preserve">Правила от </w:t>
      </w:r>
      <w:r>
        <w:rPr>
          <w:rStyle w:val="CharStyle7"/>
          <w:lang w:val="en-US" w:eastAsia="en-US"/>
        </w:rPr>
        <w:t xml:space="preserve">27.12.2012), </w:t>
      </w:r>
      <w:r>
        <w:rPr>
          <w:rStyle w:val="CharStyle7"/>
        </w:rPr>
        <w:t xml:space="preserve">действующие до дня вступления в силу Постановления </w:t>
      </w:r>
      <w:r>
        <w:rPr>
          <w:rStyle w:val="CharStyle7"/>
          <w:lang w:val="en-US" w:eastAsia="en-US"/>
        </w:rPr>
        <w:t>№1684.</w:t>
      </w:r>
    </w:p>
    <w:p>
      <w:pPr>
        <w:pStyle w:val="Style6"/>
        <w:keepNext w:val="0"/>
        <w:keepLines w:val="0"/>
        <w:widowControl w:val="0"/>
        <w:shd w:val="clear" w:color="auto" w:fill="auto"/>
        <w:bidi w:val="0"/>
        <w:spacing w:before="0" w:after="0"/>
        <w:ind w:left="0" w:right="0" w:firstLine="720"/>
        <w:jc w:val="both"/>
      </w:pPr>
      <w:r>
        <w:rPr>
          <w:rStyle w:val="CharStyle7"/>
        </w:rPr>
        <w:t xml:space="preserve">П.6 Правил от </w:t>
      </w:r>
      <w:r>
        <w:rPr>
          <w:rStyle w:val="CharStyle7"/>
          <w:lang w:val="en-US" w:eastAsia="en-US"/>
        </w:rPr>
        <w:t xml:space="preserve">27.12.2012 </w:t>
      </w:r>
      <w:r>
        <w:rPr>
          <w:rStyle w:val="CharStyle7"/>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6"/>
        <w:keepNext w:val="0"/>
        <w:keepLines w:val="0"/>
        <w:widowControl w:val="0"/>
        <w:shd w:val="clear" w:color="auto" w:fill="auto"/>
        <w:bidi w:val="0"/>
        <w:spacing w:before="0" w:after="0"/>
        <w:ind w:left="0" w:right="0" w:firstLine="720"/>
        <w:jc w:val="both"/>
      </w:pPr>
      <w:r>
        <w:rPr>
          <w:rStyle w:val="CharStyle7"/>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Постановления </w:t>
      </w:r>
      <w:r>
        <w:rPr>
          <w:rStyle w:val="CharStyle7"/>
          <w:lang w:val="en-US" w:eastAsia="en-US"/>
        </w:rPr>
        <w:t xml:space="preserve">№1684, </w:t>
      </w:r>
      <w:r>
        <w:rPr>
          <w:rStyle w:val="CharStyle7"/>
        </w:rPr>
        <w:t xml:space="preserve">в соответствии с Правилами от </w:t>
      </w:r>
      <w:r>
        <w:rPr>
          <w:rStyle w:val="CharStyle7"/>
          <w:lang w:val="en-US" w:eastAsia="en-US"/>
        </w:rPr>
        <w:t>27.12.2012.</w:t>
      </w:r>
    </w:p>
    <w:p>
      <w:pPr>
        <w:pStyle w:val="Style6"/>
        <w:keepNext w:val="0"/>
        <w:keepLines w:val="0"/>
        <w:widowControl w:val="0"/>
        <w:shd w:val="clear" w:color="auto" w:fill="auto"/>
        <w:bidi w:val="0"/>
        <w:spacing w:before="0" w:after="0"/>
        <w:ind w:left="0" w:right="0" w:firstLine="720"/>
        <w:jc w:val="both"/>
      </w:pPr>
      <w:r>
        <w:rPr>
          <w:rStyle w:val="CharStyle7"/>
        </w:rPr>
        <w:t xml:space="preserve">Комиссией Управления установлено, что в электронном документе, размещенном в составе извещения, Заказчиком установлены в том числе следующие требования к составу заявки на участие в закупке: </w:t>
      </w:r>
      <w:r>
        <w:rPr>
          <w:rStyle w:val="CharStyle7"/>
          <w:lang w:val="en-US" w:eastAsia="en-US"/>
        </w:rPr>
        <w:t>«</w:t>
      </w:r>
      <w:r>
        <w:rPr>
          <w:rStyle w:val="CharStyle7"/>
          <w:i/>
          <w:iCs/>
          <w:lang w:val="en-US" w:eastAsia="en-US"/>
        </w:rPr>
        <w:t xml:space="preserve">2) </w:t>
      </w:r>
      <w:r>
        <w:rPr>
          <w:rStyle w:val="CharStyle7"/>
          <w:i/>
          <w:iCs/>
        </w:rPr>
        <w:t>предложение участника закупки в отношении объекта закупки:</w:t>
      </w:r>
    </w:p>
    <w:p>
      <w:pPr>
        <w:pStyle w:val="Style6"/>
        <w:keepNext w:val="0"/>
        <w:keepLines w:val="0"/>
        <w:widowControl w:val="0"/>
        <w:numPr>
          <w:ilvl w:val="0"/>
          <w:numId w:val="3"/>
        </w:numPr>
        <w:shd w:val="clear" w:color="auto" w:fill="auto"/>
        <w:tabs>
          <w:tab w:pos="1315" w:val="left"/>
        </w:tabs>
        <w:bidi w:val="0"/>
        <w:spacing w:before="0" w:after="0"/>
        <w:ind w:left="0" w:right="0" w:firstLine="720"/>
        <w:jc w:val="both"/>
        <w:sectPr>
          <w:headerReference w:type="default" r:id="rId13"/>
          <w:footerReference w:type="default" r:id="rId14"/>
          <w:footnotePr>
            <w:pos w:val="pageBottom"/>
            <w:numFmt w:val="decimal"/>
            <w:numRestart w:val="continuous"/>
          </w:footnotePr>
          <w:pgSz w:w="11900" w:h="16840"/>
          <w:pgMar w:top="1162" w:right="550" w:bottom="1162" w:left="1082" w:header="0" w:footer="3" w:gutter="0"/>
          <w:cols w:space="720"/>
          <w:noEndnote/>
          <w:rtlGutter w:val="0"/>
          <w:docGrid w:linePitch="360"/>
        </w:sectPr>
      </w:pPr>
      <w:r>
        <w:rPr>
          <w:rStyle w:val="CharStyle7"/>
          <w:i/>
          <w:iCs/>
        </w:rPr>
        <w:t xml:space="preserve">характеристики предлагаемого участником закупки товара, соответствующие показателям, установленным в описании объекта закупки (Приложение </w:t>
      </w:r>
      <w:r>
        <w:rPr>
          <w:rStyle w:val="CharStyle7"/>
          <w:i/>
          <w:iCs/>
          <w:lang w:val="en-US" w:eastAsia="en-US"/>
        </w:rPr>
        <w:t xml:space="preserve">№ 1 </w:t>
      </w:r>
      <w:r>
        <w:rPr>
          <w:rStyle w:val="CharStyle7"/>
          <w:i/>
          <w:iCs/>
        </w:rPr>
        <w:t xml:space="preserve">к Извещению об осуществлении закупки) в соответствии с ч. </w:t>
      </w:r>
      <w:r>
        <w:rPr>
          <w:rStyle w:val="CharStyle7"/>
          <w:i/>
          <w:iCs/>
          <w:lang w:val="en-US" w:eastAsia="en-US"/>
        </w:rPr>
        <w:t xml:space="preserve">2 </w:t>
      </w:r>
      <w:r>
        <w:rPr>
          <w:rStyle w:val="CharStyle7"/>
          <w:i/>
          <w:iCs/>
        </w:rPr>
        <w:t xml:space="preserve">ст. </w:t>
      </w:r>
      <w:r>
        <w:rPr>
          <w:rStyle w:val="CharStyle7"/>
          <w:i/>
          <w:iCs/>
          <w:lang w:val="en-US" w:eastAsia="en-US"/>
        </w:rPr>
        <w:t xml:space="preserve">33 </w:t>
      </w:r>
      <w:r>
        <w:rPr>
          <w:rStyle w:val="CharStyle7"/>
          <w:i/>
          <w:iCs/>
        </w:rPr>
        <w:t xml:space="preserve">Федерального закона </w:t>
      </w:r>
      <w:r>
        <w:rPr>
          <w:rStyle w:val="CharStyle7"/>
          <w:i/>
          <w:iCs/>
          <w:lang w:val="en-US" w:eastAsia="en-US"/>
        </w:rPr>
        <w:t xml:space="preserve">№ </w:t>
      </w:r>
      <w:r>
        <w:rPr>
          <w:rStyle w:val="CharStyle7"/>
          <w:i/>
          <w:iCs/>
        </w:rPr>
        <w:t>44-ФЗ, товарный знак (при наличии у товара товарного знака);</w:t>
      </w:r>
    </w:p>
    <w:p>
      <w:pPr>
        <w:pStyle w:val="Style6"/>
        <w:keepNext w:val="0"/>
        <w:keepLines w:val="0"/>
        <w:widowControl w:val="0"/>
        <w:numPr>
          <w:ilvl w:val="0"/>
          <w:numId w:val="3"/>
        </w:numPr>
        <w:shd w:val="clear" w:color="auto" w:fill="auto"/>
        <w:tabs>
          <w:tab w:pos="1315" w:val="left"/>
        </w:tabs>
        <w:bidi w:val="0"/>
        <w:spacing w:before="0" w:after="0"/>
        <w:ind w:left="0" w:right="0" w:firstLine="720"/>
        <w:jc w:val="both"/>
      </w:pPr>
      <w:r>
        <w:rPr>
          <w:rStyle w:val="CharStyle7"/>
          <w:i/>
          <w:iCs/>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w:t>
      </w:r>
      <w:r>
        <w:rPr>
          <w:rStyle w:val="CharStyle7"/>
          <w:i/>
          <w:iCs/>
          <w:lang w:val="en-US" w:eastAsia="en-US"/>
        </w:rPr>
        <w:t xml:space="preserve">2 </w:t>
      </w:r>
      <w:r>
        <w:rPr>
          <w:rStyle w:val="CharStyle7"/>
          <w:i/>
          <w:iCs/>
        </w:rPr>
        <w:t xml:space="preserve">ст. </w:t>
      </w:r>
      <w:r>
        <w:rPr>
          <w:rStyle w:val="CharStyle7"/>
          <w:i/>
          <w:iCs/>
          <w:lang w:val="en-US" w:eastAsia="en-US"/>
        </w:rPr>
        <w:t xml:space="preserve">43 </w:t>
      </w:r>
      <w:r>
        <w:rPr>
          <w:rStyle w:val="CharStyle7"/>
          <w:i/>
          <w:iCs/>
        </w:rPr>
        <w:t xml:space="preserve">Федерального закона </w:t>
      </w:r>
      <w:r>
        <w:rPr>
          <w:rStyle w:val="CharStyle7"/>
          <w:i/>
          <w:iCs/>
          <w:lang w:val="en-US" w:eastAsia="en-US"/>
        </w:rPr>
        <w:t xml:space="preserve">№ </w:t>
      </w:r>
      <w:r>
        <w:rPr>
          <w:rStyle w:val="CharStyle7"/>
          <w:i/>
          <w:iCs/>
        </w:rPr>
        <w:t>44-ФЗ;</w:t>
      </w:r>
    </w:p>
    <w:p>
      <w:pPr>
        <w:pStyle w:val="Style6"/>
        <w:keepNext w:val="0"/>
        <w:keepLines w:val="0"/>
        <w:widowControl w:val="0"/>
        <w:numPr>
          <w:ilvl w:val="0"/>
          <w:numId w:val="3"/>
        </w:numPr>
        <w:shd w:val="clear" w:color="auto" w:fill="auto"/>
        <w:tabs>
          <w:tab w:pos="1315" w:val="left"/>
        </w:tabs>
        <w:bidi w:val="0"/>
        <w:spacing w:before="0" w:after="0"/>
        <w:ind w:left="0" w:right="0" w:firstLine="720"/>
        <w:jc w:val="both"/>
      </w:pPr>
      <w:r>
        <w:rPr>
          <w:rStyle w:val="CharStyle7"/>
          <w:i/>
          <w:iCs/>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Pr>
          <w:rStyle w:val="CharStyle7"/>
        </w:rPr>
        <w:t>.</w:t>
      </w:r>
    </w:p>
    <w:p>
      <w:pPr>
        <w:pStyle w:val="Style6"/>
        <w:keepNext w:val="0"/>
        <w:keepLines w:val="0"/>
        <w:widowControl w:val="0"/>
        <w:shd w:val="clear" w:color="auto" w:fill="auto"/>
        <w:bidi w:val="0"/>
        <w:spacing w:before="0" w:after="0"/>
        <w:ind w:left="0" w:right="0" w:firstLine="720"/>
        <w:jc w:val="both"/>
      </w:pPr>
      <w:r>
        <w:rPr>
          <w:rStyle w:val="CharStyle7"/>
        </w:rPr>
        <w:t>Комиссией Управления установлено, что в составе заявки участника закупки ООО «Комплект-Сервис» указаны в том числе следующие сведения о предлагаемом к поставке изделии по п.«Набор с датчиком для измерения артериального давления» (по п.1 заявки участника закупки):</w:t>
      </w:r>
    </w:p>
    <w:p>
      <w:pPr>
        <w:pStyle w:val="Style6"/>
        <w:keepNext w:val="0"/>
        <w:keepLines w:val="0"/>
        <w:widowControl w:val="0"/>
        <w:numPr>
          <w:ilvl w:val="0"/>
          <w:numId w:val="3"/>
        </w:numPr>
        <w:shd w:val="clear" w:color="auto" w:fill="auto"/>
        <w:tabs>
          <w:tab w:pos="1315" w:val="left"/>
        </w:tabs>
        <w:bidi w:val="0"/>
        <w:spacing w:before="0" w:after="0"/>
        <w:ind w:left="0" w:right="0" w:firstLine="720"/>
        <w:jc w:val="both"/>
      </w:pPr>
      <w:r>
        <w:rPr>
          <w:rStyle w:val="CharStyle7"/>
        </w:rPr>
        <w:t>«Встроенный кабель с четырехконтактным разъемом, совместимый с соединительным кабелем Комбитранс производства Б.Браун Мельзунген АГ, имеющимся у заказчика: Наличие»;</w:t>
      </w:r>
    </w:p>
    <w:p>
      <w:pPr>
        <w:pStyle w:val="Style6"/>
        <w:keepNext w:val="0"/>
        <w:keepLines w:val="0"/>
        <w:widowControl w:val="0"/>
        <w:numPr>
          <w:ilvl w:val="0"/>
          <w:numId w:val="3"/>
        </w:numPr>
        <w:shd w:val="clear" w:color="auto" w:fill="auto"/>
        <w:tabs>
          <w:tab w:pos="1315" w:val="left"/>
        </w:tabs>
        <w:bidi w:val="0"/>
        <w:spacing w:before="0" w:after="0"/>
        <w:ind w:left="0" w:right="0" w:firstLine="720"/>
        <w:jc w:val="both"/>
      </w:pPr>
      <w:r>
        <w:rPr>
          <w:rStyle w:val="CharStyle7"/>
        </w:rPr>
        <w:t xml:space="preserve">«Наименование медицинского изделия в соответствии с РУ: РЗН </w:t>
      </w:r>
      <w:r>
        <w:rPr>
          <w:rStyle w:val="CharStyle7"/>
          <w:lang w:val="en-US" w:eastAsia="en-US"/>
        </w:rPr>
        <w:t xml:space="preserve">2025/25715 </w:t>
      </w:r>
      <w:r>
        <w:rPr>
          <w:rStyle w:val="CharStyle7"/>
        </w:rPr>
        <w:t xml:space="preserve">Набор </w:t>
      </w:r>
      <w:r>
        <w:rPr>
          <w:rStyle w:val="CharStyle7"/>
          <w:lang w:val="en-US" w:eastAsia="en-US"/>
        </w:rPr>
        <w:t xml:space="preserve">VAIT® </w:t>
      </w:r>
      <w:r>
        <w:rPr>
          <w:rStyle w:val="CharStyle7"/>
        </w:rPr>
        <w:t xml:space="preserve">для инвазивного измерения давления одноразовый, стерильный, с принадлежностями по ТУ </w:t>
      </w:r>
      <w:r>
        <w:rPr>
          <w:rStyle w:val="CharStyle7"/>
          <w:lang w:val="en-US" w:eastAsia="en-US"/>
        </w:rPr>
        <w:t xml:space="preserve">26.60.12-03-03254652-2024, </w:t>
      </w:r>
      <w:r>
        <w:rPr>
          <w:rStyle w:val="CharStyle7"/>
        </w:rPr>
        <w:t xml:space="preserve">в составе: </w:t>
      </w:r>
      <w:r>
        <w:rPr>
          <w:rStyle w:val="CharStyle7"/>
          <w:lang w:val="en-US" w:eastAsia="en-US"/>
        </w:rPr>
        <w:t xml:space="preserve">1. </w:t>
      </w:r>
      <w:r>
        <w:rPr>
          <w:rStyle w:val="CharStyle7"/>
        </w:rPr>
        <w:t xml:space="preserve">Набор для инвазивного измерения давления, серии </w:t>
      </w:r>
      <w:r>
        <w:rPr>
          <w:rStyle w:val="CharStyle7"/>
          <w:lang w:val="en-US" w:eastAsia="en-US"/>
        </w:rPr>
        <w:t>RUBY®, REF: ABB2T2EA».</w:t>
      </w:r>
    </w:p>
    <w:p>
      <w:pPr>
        <w:pStyle w:val="Style6"/>
        <w:keepNext w:val="0"/>
        <w:keepLines w:val="0"/>
        <w:widowControl w:val="0"/>
        <w:shd w:val="clear" w:color="auto" w:fill="auto"/>
        <w:bidi w:val="0"/>
        <w:spacing w:before="0" w:after="0"/>
        <w:ind w:left="0" w:right="0" w:firstLine="720"/>
        <w:jc w:val="both"/>
      </w:pPr>
      <w:r>
        <w:rPr>
          <w:rStyle w:val="CharStyle7"/>
        </w:rPr>
        <w:t>Согласно пп.«а»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w:t>
        <w:softHyphen/>
        <w:t>8</w:t>
      </w:r>
      <w:r>
        <w:rPr>
          <w:rStyle w:val="CharStyle7"/>
          <w:lang w:val="en-US" w:eastAsia="en-US"/>
        </w:rPr>
        <w:t xml:space="preserve"> </w:t>
      </w:r>
      <w:r>
        <w:rPr>
          <w:rStyle w:val="CharStyle7"/>
        </w:rPr>
        <w:t>ч.12 ст.48 Закона о контрактной системе.</w:t>
      </w:r>
    </w:p>
    <w:p>
      <w:pPr>
        <w:pStyle w:val="Style6"/>
        <w:keepNext w:val="0"/>
        <w:keepLines w:val="0"/>
        <w:widowControl w:val="0"/>
        <w:shd w:val="clear" w:color="auto" w:fill="auto"/>
        <w:bidi w:val="0"/>
        <w:spacing w:before="0" w:after="0"/>
        <w:ind w:left="0" w:right="0" w:firstLine="720"/>
        <w:jc w:val="both"/>
      </w:pPr>
      <w:r>
        <w:rPr>
          <w:rStyle w:val="CharStyle7"/>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5"/>
        </w:numPr>
        <w:shd w:val="clear" w:color="auto" w:fill="auto"/>
        <w:tabs>
          <w:tab w:pos="1038" w:val="left"/>
        </w:tabs>
        <w:bidi w:val="0"/>
        <w:spacing w:before="0" w:after="0"/>
        <w:ind w:left="0" w:right="0" w:firstLine="720"/>
        <w:jc w:val="both"/>
      </w:pPr>
      <w:r>
        <w:rPr>
          <w:rStyle w:val="CharStyle7"/>
        </w:rPr>
        <w:t xml:space="preserve">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w:t>
      </w:r>
      <w:r>
        <w:rPr>
          <w:rStyle w:val="CharStyle7"/>
          <w:lang w:val="en-US" w:eastAsia="en-US"/>
        </w:rPr>
        <w:t xml:space="preserve">3 </w:t>
      </w:r>
      <w:r>
        <w:rPr>
          <w:rStyle w:val="CharStyle7"/>
        </w:rPr>
        <w:t>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032" w:val="left"/>
        </w:tabs>
        <w:bidi w:val="0"/>
        <w:spacing w:before="0" w:after="0" w:line="290" w:lineRule="auto"/>
        <w:ind w:left="0" w:right="0" w:firstLine="720"/>
        <w:jc w:val="both"/>
        <w:rPr>
          <w:sz w:val="24"/>
          <w:szCs w:val="24"/>
        </w:rPr>
        <w:sectPr>
          <w:headerReference w:type="default" r:id="rId15"/>
          <w:footerReference w:type="default" r:id="rId16"/>
          <w:footnotePr>
            <w:pos w:val="pageBottom"/>
            <w:numFmt w:val="decimal"/>
            <w:numRestart w:val="continuous"/>
          </w:footnotePr>
          <w:pgSz w:w="11900" w:h="16840"/>
          <w:pgMar w:top="1167" w:right="541" w:bottom="658" w:left="1092" w:header="0" w:footer="230" w:gutter="0"/>
          <w:cols w:space="720"/>
          <w:noEndnote/>
          <w:rtlGutter w:val="0"/>
          <w:docGrid w:linePitch="360"/>
        </w:sectPr>
      </w:pPr>
      <w:r>
        <w:rPr>
          <w:rStyle w:val="CharStyle7"/>
        </w:rPr>
        <w:t xml:space="preserve">непредставления информации и документов, предусмотренных п.2 и </w:t>
      </w:r>
      <w:r>
        <w:rPr>
          <w:rStyle w:val="CharStyle7"/>
          <w:lang w:val="en-US" w:eastAsia="en-US"/>
        </w:rPr>
        <w:t xml:space="preserve">3 </w:t>
      </w:r>
      <w:r>
        <w:rPr>
          <w:rStyle w:val="CharStyle7"/>
        </w:rPr>
        <w:t xml:space="preserve">ч.6 ст.43 Закона о контрактной системе, несоответствия таких информации и </w:t>
      </w:r>
      <w:r>
        <w:rPr>
          <w:rStyle w:val="CharStyle7"/>
          <w:sz w:val="24"/>
          <w:szCs w:val="24"/>
          <w:lang w:val="en-US" w:eastAsia="en-US"/>
        </w:rPr>
        <w:t>2026-23860</w:t>
      </w:r>
    </w:p>
    <w:p>
      <w:pPr>
        <w:pStyle w:val="Style6"/>
        <w:keepNext w:val="0"/>
        <w:keepLines w:val="0"/>
        <w:widowControl w:val="0"/>
        <w:shd w:val="clear" w:color="auto" w:fill="auto"/>
        <w:bidi w:val="0"/>
        <w:spacing w:before="0" w:after="0"/>
        <w:ind w:left="0" w:right="0" w:firstLine="0"/>
        <w:jc w:val="both"/>
      </w:pPr>
      <w:r>
        <w:rPr>
          <w:rStyle w:val="CharStyle7"/>
        </w:rPr>
        <w:t>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047" w:val="left"/>
        </w:tabs>
        <w:bidi w:val="0"/>
        <w:spacing w:before="0" w:after="0"/>
        <w:ind w:left="0" w:right="0" w:firstLine="70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w:t>
      </w:r>
      <w:r>
        <w:rPr>
          <w:rStyle w:val="CharStyle7"/>
          <w:lang w:val="en-US" w:eastAsia="en-US"/>
        </w:rPr>
        <w:t xml:space="preserve">2 </w:t>
      </w:r>
      <w:r>
        <w:rPr>
          <w:rStyle w:val="CharStyle7"/>
        </w:rPr>
        <w:t xml:space="preserve">и </w:t>
      </w:r>
      <w:r>
        <w:rPr>
          <w:rStyle w:val="CharStyle7"/>
          <w:lang w:val="en-US" w:eastAsia="en-US"/>
        </w:rPr>
        <w:t xml:space="preserve">2.1 </w:t>
      </w:r>
      <w:r>
        <w:rPr>
          <w:rStyle w:val="CharStyle7"/>
        </w:rPr>
        <w:t>(при наличии таких требований) ст.31 Закона о контрактной системе;</w:t>
      </w:r>
    </w:p>
    <w:p>
      <w:pPr>
        <w:pStyle w:val="Style6"/>
        <w:keepNext w:val="0"/>
        <w:keepLines w:val="0"/>
        <w:widowControl w:val="0"/>
        <w:numPr>
          <w:ilvl w:val="0"/>
          <w:numId w:val="5"/>
        </w:numPr>
        <w:shd w:val="clear" w:color="auto" w:fill="auto"/>
        <w:tabs>
          <w:tab w:pos="1042" w:val="left"/>
        </w:tabs>
        <w:bidi w:val="0"/>
        <w:spacing w:before="0" w:after="0"/>
        <w:ind w:left="0" w:right="0" w:firstLine="700"/>
        <w:jc w:val="both"/>
      </w:pPr>
      <w:r>
        <w:rPr>
          <w:rStyle w:val="CharStyle7"/>
        </w:rPr>
        <w:t>предусмотренных пп.«а» п.1 (за исключением случая, предусмотренного п.5 ч.12 ст.48 Закона о контрактной системе), пп.«а» п.2 ч.4, пп.«а» п.1 (за исключением случая, предусмотренного п.5 ч.12 ст.48 Закона о контрактной системе), п.2 ч.5 ст.14 Закона о контрактной системе;</w:t>
      </w:r>
    </w:p>
    <w:p>
      <w:pPr>
        <w:pStyle w:val="Style6"/>
        <w:keepNext w:val="0"/>
        <w:keepLines w:val="0"/>
        <w:widowControl w:val="0"/>
        <w:numPr>
          <w:ilvl w:val="0"/>
          <w:numId w:val="5"/>
        </w:numPr>
        <w:shd w:val="clear" w:color="auto" w:fill="auto"/>
        <w:tabs>
          <w:tab w:pos="1047" w:val="left"/>
        </w:tabs>
        <w:bidi w:val="0"/>
        <w:spacing w:before="0" w:after="0"/>
        <w:ind w:left="0" w:right="0" w:firstLine="700"/>
        <w:jc w:val="both"/>
      </w:pPr>
      <w:r>
        <w:rPr>
          <w:rStyle w:val="CharStyle7"/>
        </w:rPr>
        <w:t>непредставления информации и документов, предусмотренных п.5 ч.1 ст.43 Закона о контрактной системе, если такие информация и документы определены в соответствии с п.2 ч.2 ст.14 Закона о контрактной системе (в случае установления в соответствии с пп.«а»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5"/>
        </w:numPr>
        <w:shd w:val="clear" w:color="auto" w:fill="auto"/>
        <w:tabs>
          <w:tab w:pos="1042" w:val="left"/>
        </w:tabs>
        <w:bidi w:val="0"/>
        <w:spacing w:before="0" w:after="0"/>
        <w:ind w:left="0" w:right="0" w:firstLine="700"/>
        <w:jc w:val="both"/>
      </w:pPr>
      <w:r>
        <w:rPr>
          <w:rStyle w:val="CharStyle7"/>
        </w:rPr>
        <w:t xml:space="preserve">выявления отнесения участника закупки к организациям, предусмотренным п.4 ст.2 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5"/>
        </w:numPr>
        <w:shd w:val="clear" w:color="auto" w:fill="auto"/>
        <w:tabs>
          <w:tab w:pos="1732" w:val="left"/>
        </w:tabs>
        <w:bidi w:val="0"/>
        <w:spacing w:before="0" w:after="0"/>
        <w:ind w:left="0" w:right="0" w:firstLine="700"/>
        <w:jc w:val="both"/>
      </w:pPr>
      <w:r>
        <w:rPr>
          <w:rStyle w:val="CharStyle7"/>
        </w:rPr>
        <w:t>предусмотренных ч.6 ст.45 Закона о контрактной системе;</w:t>
      </w:r>
    </w:p>
    <w:p>
      <w:pPr>
        <w:pStyle w:val="Style6"/>
        <w:keepNext w:val="0"/>
        <w:keepLines w:val="0"/>
        <w:widowControl w:val="0"/>
        <w:numPr>
          <w:ilvl w:val="0"/>
          <w:numId w:val="5"/>
        </w:numPr>
        <w:shd w:val="clear" w:color="auto" w:fill="auto"/>
        <w:tabs>
          <w:tab w:pos="1047" w:val="left"/>
        </w:tabs>
        <w:bidi w:val="0"/>
        <w:spacing w:before="0" w:after="0"/>
        <w:ind w:left="0" w:right="0" w:firstLine="70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5"/>
        </w:numPr>
        <w:shd w:val="clear" w:color="auto" w:fill="auto"/>
        <w:tabs>
          <w:tab w:pos="1042" w:val="left"/>
        </w:tabs>
        <w:bidi w:val="0"/>
        <w:spacing w:before="0" w:after="0"/>
        <w:ind w:left="0" w:right="0" w:firstLine="700"/>
        <w:jc w:val="both"/>
      </w:pPr>
      <w:r>
        <w:rPr>
          <w:rStyle w:val="CharStyle7"/>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bidi w:val="0"/>
        <w:spacing w:before="0" w:after="0"/>
        <w:ind w:left="0" w:right="0" w:firstLine="70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ind w:left="0" w:right="0" w:firstLine="700"/>
        <w:jc w:val="both"/>
      </w:pPr>
      <w:r>
        <w:rPr>
          <w:rStyle w:val="CharStyle7"/>
        </w:rPr>
        <w:t>На заседании Комиссии Управления представитель Заказчика пояснил, что заявка участника закупки ООО «Комплект-Сервис» отклонена комиссией по осуществлению закупок Заказчика на основании предоставления в составе заявки участника закупки недостоверных сведений о предлагаемом к поставке изделии.</w:t>
      </w:r>
    </w:p>
    <w:p>
      <w:pPr>
        <w:pStyle w:val="Style6"/>
        <w:keepNext w:val="0"/>
        <w:keepLines w:val="0"/>
        <w:widowControl w:val="0"/>
        <w:shd w:val="clear" w:color="auto" w:fill="auto"/>
        <w:bidi w:val="0"/>
        <w:spacing w:before="0" w:after="0"/>
        <w:ind w:left="0" w:right="0" w:firstLine="700"/>
        <w:jc w:val="both"/>
      </w:pPr>
      <w:r>
        <w:rPr>
          <w:rStyle w:val="CharStyle7"/>
        </w:rPr>
        <w:t xml:space="preserve">В частности представитель Заказчика указал, что в составе заявки участника закупки указано на обладание предлагаемого к поставке изделия «Набор с датчиком для измерения артериального давления» характеристикой «Встроенный кабель с четырехконтактным разъемом, совместимый с соединительным кабелем Комбитранс производства Б.Браун Мельзунген АГ, имеющимся у заказчика: Наличие», в то время как, согласно информационному письму уполномоченного представителя производителя </w:t>
      </w:r>
      <w:r>
        <w:rPr>
          <w:rStyle w:val="CharStyle7"/>
          <w:lang w:val="en-US" w:eastAsia="en-US"/>
        </w:rPr>
        <w:t xml:space="preserve">«B.Braun Melsungen AG», </w:t>
      </w:r>
      <w:r>
        <w:rPr>
          <w:rStyle w:val="CharStyle7"/>
        </w:rPr>
        <w:t>кабели соединительные</w:t>
      </w:r>
    </w:p>
    <w:p>
      <w:pPr>
        <w:pStyle w:val="Style6"/>
        <w:keepNext w:val="0"/>
        <w:keepLines w:val="0"/>
        <w:widowControl w:val="0"/>
        <w:shd w:val="clear" w:color="auto" w:fill="auto"/>
        <w:bidi w:val="0"/>
        <w:spacing w:before="0" w:after="0"/>
        <w:ind w:left="0" w:right="0" w:firstLine="0"/>
        <w:jc w:val="both"/>
      </w:pPr>
      <w:r>
        <w:rPr>
          <w:rStyle w:val="CharStyle7"/>
        </w:rPr>
        <w:t xml:space="preserve">КОМБИТРАНС </w:t>
      </w:r>
      <w:r>
        <w:rPr>
          <w:rStyle w:val="CharStyle7"/>
          <w:lang w:val="en-US" w:eastAsia="en-US"/>
        </w:rPr>
        <w:t xml:space="preserve">(Combitrans monitoring cable) </w:t>
      </w:r>
      <w:r>
        <w:rPr>
          <w:rStyle w:val="CharStyle7"/>
        </w:rPr>
        <w:t xml:space="preserve">производства </w:t>
      </w:r>
      <w:r>
        <w:rPr>
          <w:rStyle w:val="CharStyle7"/>
          <w:lang w:val="en-US" w:eastAsia="en-US"/>
        </w:rPr>
        <w:t xml:space="preserve">B.Braun Melsungen AG, </w:t>
      </w:r>
      <w:r>
        <w:rPr>
          <w:rStyle w:val="CharStyle7"/>
        </w:rPr>
        <w:t xml:space="preserve">совместимы только с устройствами для контроля кровяного давления КОМБИДИН </w:t>
      </w:r>
      <w:r>
        <w:rPr>
          <w:rStyle w:val="CharStyle7"/>
          <w:lang w:val="en-US" w:eastAsia="en-US"/>
        </w:rPr>
        <w:t xml:space="preserve">(Combydin), </w:t>
      </w:r>
      <w:r>
        <w:rPr>
          <w:rStyle w:val="CharStyle7"/>
        </w:rPr>
        <w:t xml:space="preserve">КОМБИТРАНС </w:t>
      </w:r>
      <w:r>
        <w:rPr>
          <w:rStyle w:val="CharStyle7"/>
          <w:lang w:val="en-US" w:eastAsia="en-US"/>
        </w:rPr>
        <w:t xml:space="preserve">(Combitrans) </w:t>
      </w:r>
      <w:r>
        <w:rPr>
          <w:rStyle w:val="CharStyle7"/>
        </w:rPr>
        <w:t xml:space="preserve">производства </w:t>
      </w:r>
      <w:r>
        <w:rPr>
          <w:rStyle w:val="CharStyle7"/>
          <w:lang w:val="en-US" w:eastAsia="en-US"/>
        </w:rPr>
        <w:t>B.Braun Melsungen AG.</w:t>
      </w:r>
    </w:p>
    <w:p>
      <w:pPr>
        <w:pStyle w:val="Style6"/>
        <w:keepNext w:val="0"/>
        <w:keepLines w:val="0"/>
        <w:widowControl w:val="0"/>
        <w:shd w:val="clear" w:color="auto" w:fill="auto"/>
        <w:bidi w:val="0"/>
        <w:spacing w:before="0" w:after="0"/>
        <w:ind w:left="0" w:right="0" w:firstLine="720"/>
        <w:jc w:val="both"/>
      </w:pPr>
      <w:r>
        <w:rPr>
          <w:rStyle w:val="CharStyle7"/>
        </w:rPr>
        <w:t>Кроме того, по мнению представителя Заказчика, из положений эксплуатационной документации медицинского изделия следует, что кабели соединительные КОМБИТРАНС подлежат подключению к конкретному изделию преобразователь комбитранс.</w:t>
      </w:r>
    </w:p>
    <w:p>
      <w:pPr>
        <w:pStyle w:val="Style6"/>
        <w:keepNext w:val="0"/>
        <w:keepLines w:val="0"/>
        <w:widowControl w:val="0"/>
        <w:shd w:val="clear" w:color="auto" w:fill="auto"/>
        <w:bidi w:val="0"/>
        <w:spacing w:before="0" w:after="0"/>
        <w:ind w:left="0" w:right="0" w:firstLine="720"/>
        <w:jc w:val="both"/>
      </w:pPr>
      <w:r>
        <w:rPr>
          <w:rStyle w:val="CharStyle7"/>
        </w:rPr>
        <w:t xml:space="preserve">В обоснование своей позиции представитель Заказчика представил информационное письмо ООО «Б.Браун Медикал» </w:t>
      </w:r>
      <w:r>
        <w:rPr>
          <w:rStyle w:val="CharStyle7"/>
          <w:lang w:val="en-US" w:eastAsia="en-US"/>
        </w:rPr>
        <w:t xml:space="preserve">№ 082/26 </w:t>
      </w:r>
      <w:r>
        <w:rPr>
          <w:rStyle w:val="CharStyle7"/>
        </w:rPr>
        <w:t xml:space="preserve">ББМ от </w:t>
      </w:r>
      <w:r>
        <w:rPr>
          <w:rStyle w:val="CharStyle7"/>
          <w:lang w:val="en-US" w:eastAsia="en-US"/>
        </w:rPr>
        <w:t xml:space="preserve">28.04.2026 </w:t>
      </w:r>
      <w:r>
        <w:rPr>
          <w:rStyle w:val="CharStyle7"/>
        </w:rPr>
        <w:t>со следующим содержанием:</w:t>
      </w:r>
    </w:p>
    <w:p>
      <w:pPr>
        <w:pStyle w:val="Style6"/>
        <w:keepNext w:val="0"/>
        <w:keepLines w:val="0"/>
        <w:widowControl w:val="0"/>
        <w:shd w:val="clear" w:color="auto" w:fill="auto"/>
        <w:bidi w:val="0"/>
        <w:spacing w:before="0" w:after="0"/>
        <w:ind w:left="0" w:right="0" w:firstLine="720"/>
        <w:jc w:val="both"/>
      </w:pPr>
      <w:r>
        <w:rPr>
          <w:rStyle w:val="CharStyle7"/>
        </w:rPr>
        <w:t>«</w:t>
      </w:r>
      <w:r>
        <w:rPr>
          <w:rStyle w:val="CharStyle7"/>
          <w:i/>
          <w:iCs/>
        </w:rPr>
        <w:t xml:space="preserve">Компания ООО «Б.Браун Медикал», являющееся дочерним предприятием и уполномоченным представителем компании-производителя Б. Браун Мельзунген АГ, Германия </w:t>
      </w:r>
      <w:r>
        <w:rPr>
          <w:rStyle w:val="CharStyle7"/>
          <w:i/>
          <w:iCs/>
          <w:lang w:val="en-US" w:eastAsia="en-US"/>
        </w:rPr>
        <w:t xml:space="preserve">(B.Braun Melsungen AG, Germany), </w:t>
      </w:r>
      <w:r>
        <w:rPr>
          <w:rStyle w:val="CharStyle7"/>
          <w:i/>
          <w:iCs/>
        </w:rPr>
        <w:t>ответственным за обращение медицинских изделий на территории Российской Федерации, выражает вам свое почтение.</w:t>
      </w:r>
    </w:p>
    <w:p>
      <w:pPr>
        <w:pStyle w:val="Style6"/>
        <w:keepNext w:val="0"/>
        <w:keepLines w:val="0"/>
        <w:widowControl w:val="0"/>
        <w:shd w:val="clear" w:color="auto" w:fill="auto"/>
        <w:bidi w:val="0"/>
        <w:spacing w:before="0" w:after="0"/>
        <w:ind w:left="0" w:right="0" w:firstLine="720"/>
        <w:jc w:val="both"/>
      </w:pPr>
      <w:r>
        <w:rPr>
          <w:rStyle w:val="CharStyle7"/>
          <w:i/>
          <w:iCs/>
        </w:rPr>
        <w:t xml:space="preserve">Настоящим письмом информируем о том, что кабели соединительные КОМБИТРАНС </w:t>
      </w:r>
      <w:r>
        <w:rPr>
          <w:rStyle w:val="CharStyle7"/>
          <w:i/>
          <w:iCs/>
          <w:lang w:val="en-US" w:eastAsia="en-US"/>
        </w:rPr>
        <w:t xml:space="preserve">(Combitrans monitoring cable), </w:t>
      </w:r>
      <w:r>
        <w:rPr>
          <w:rStyle w:val="CharStyle7"/>
          <w:i/>
          <w:iCs/>
        </w:rPr>
        <w:t xml:space="preserve">РУ </w:t>
      </w:r>
      <w:r>
        <w:rPr>
          <w:rStyle w:val="CharStyle7"/>
          <w:i/>
          <w:iCs/>
          <w:lang w:val="en-US" w:eastAsia="en-US"/>
        </w:rPr>
        <w:t xml:space="preserve">№ </w:t>
      </w:r>
      <w:r>
        <w:rPr>
          <w:rStyle w:val="CharStyle7"/>
          <w:i/>
          <w:iCs/>
        </w:rPr>
        <w:t xml:space="preserve">РЗН </w:t>
      </w:r>
      <w:r>
        <w:rPr>
          <w:rStyle w:val="CharStyle7"/>
          <w:i/>
          <w:iCs/>
          <w:lang w:val="en-US" w:eastAsia="en-US"/>
        </w:rPr>
        <w:t xml:space="preserve">2013/245 </w:t>
      </w:r>
      <w:r>
        <w:rPr>
          <w:rStyle w:val="CharStyle7"/>
          <w:i/>
          <w:iCs/>
        </w:rPr>
        <w:t xml:space="preserve">от </w:t>
      </w:r>
      <w:r>
        <w:rPr>
          <w:rStyle w:val="CharStyle7"/>
          <w:i/>
          <w:iCs/>
          <w:lang w:val="en-US" w:eastAsia="en-US"/>
        </w:rPr>
        <w:t xml:space="preserve">20 </w:t>
      </w:r>
      <w:r>
        <w:rPr>
          <w:rStyle w:val="CharStyle7"/>
          <w:i/>
          <w:iCs/>
        </w:rPr>
        <w:t xml:space="preserve">июля </w:t>
      </w:r>
      <w:r>
        <w:rPr>
          <w:rStyle w:val="CharStyle7"/>
          <w:i/>
          <w:iCs/>
          <w:lang w:val="en-US" w:eastAsia="en-US"/>
        </w:rPr>
        <w:t xml:space="preserve">2017 </w:t>
      </w:r>
      <w:r>
        <w:rPr>
          <w:rStyle w:val="CharStyle7"/>
          <w:i/>
          <w:iCs/>
        </w:rPr>
        <w:t xml:space="preserve">года могут использоваться только с наборами для контроля давления с преобразователем КОМБИТРАНС </w:t>
      </w:r>
      <w:r>
        <w:rPr>
          <w:rStyle w:val="CharStyle7"/>
          <w:i/>
          <w:iCs/>
          <w:lang w:val="en-US" w:eastAsia="en-US"/>
        </w:rPr>
        <w:t xml:space="preserve">(Combitrans monitoring set) </w:t>
      </w:r>
      <w:r>
        <w:rPr>
          <w:rStyle w:val="CharStyle7"/>
          <w:i/>
          <w:iCs/>
        </w:rPr>
        <w:t xml:space="preserve">производства компании В. </w:t>
      </w:r>
      <w:r>
        <w:rPr>
          <w:rStyle w:val="CharStyle7"/>
          <w:i/>
          <w:iCs/>
          <w:lang w:val="en-US" w:eastAsia="en-US"/>
        </w:rPr>
        <w:t>Braun Melsungen AG.</w:t>
      </w:r>
    </w:p>
    <w:p>
      <w:pPr>
        <w:pStyle w:val="Style6"/>
        <w:keepNext w:val="0"/>
        <w:keepLines w:val="0"/>
        <w:widowControl w:val="0"/>
        <w:shd w:val="clear" w:color="auto" w:fill="auto"/>
        <w:bidi w:val="0"/>
        <w:spacing w:before="0" w:after="0"/>
        <w:ind w:left="0" w:right="0" w:firstLine="720"/>
        <w:jc w:val="both"/>
      </w:pPr>
      <w:r>
        <w:rPr>
          <w:rStyle w:val="CharStyle7"/>
          <w:i/>
          <w:iCs/>
        </w:rPr>
        <w:t>Указанная выше информация приведена в инструкции по эксплуатации на кабели соединительные. Использование наборов для инвазивного измерения давления других производителей запрещено, так как они являются несовместимыми.</w:t>
      </w:r>
    </w:p>
    <w:p>
      <w:pPr>
        <w:pStyle w:val="Style6"/>
        <w:keepNext w:val="0"/>
        <w:keepLines w:val="0"/>
        <w:widowControl w:val="0"/>
        <w:shd w:val="clear" w:color="auto" w:fill="auto"/>
        <w:bidi w:val="0"/>
        <w:spacing w:before="0" w:after="0"/>
        <w:ind w:left="0" w:right="0" w:firstLine="720"/>
        <w:jc w:val="both"/>
      </w:pPr>
      <w:r>
        <w:rPr>
          <w:rStyle w:val="CharStyle7"/>
          <w:i/>
          <w:iCs/>
        </w:rPr>
        <w:t xml:space="preserve">Также, сообщаем о том, что тестирования на совместимость устройств для измерения кровяного давления (преобразователей) с кабелями КОМБИТРАНС сторонних производителей, в том числе с Наборами </w:t>
      </w:r>
      <w:r>
        <w:rPr>
          <w:rStyle w:val="CharStyle7"/>
          <w:i/>
          <w:iCs/>
          <w:lang w:val="en-US" w:eastAsia="en-US"/>
        </w:rPr>
        <w:t xml:space="preserve">VAIT® </w:t>
      </w:r>
      <w:r>
        <w:rPr>
          <w:rStyle w:val="CharStyle7"/>
          <w:i/>
          <w:iCs/>
        </w:rPr>
        <w:t>для инвазивного измерения давления не проводилось, надлежащая работа и безопасность в таком случае не могут быть гарантированы.</w:t>
      </w:r>
    </w:p>
    <w:p>
      <w:pPr>
        <w:pStyle w:val="Style6"/>
        <w:keepNext w:val="0"/>
        <w:keepLines w:val="0"/>
        <w:widowControl w:val="0"/>
        <w:shd w:val="clear" w:color="auto" w:fill="auto"/>
        <w:bidi w:val="0"/>
        <w:spacing w:before="0" w:after="0"/>
        <w:ind w:left="0" w:right="0" w:firstLine="720"/>
        <w:jc w:val="both"/>
      </w:pPr>
      <w:r>
        <w:rPr>
          <w:rStyle w:val="CharStyle7"/>
          <w:i/>
          <w:iCs/>
        </w:rPr>
        <w:t>Использование несовместимых наборов для инвазивного измерения давления может привести к существенной погрешности при измерении АД и ЦВД, а также искажению при отображении показателей на мониторе. Это, в свою очередь, может привести к значительному ухудшению состояния пациента и сопутствующим осложнениям при проведении терапии.</w:t>
      </w:r>
    </w:p>
    <w:p>
      <w:pPr>
        <w:pStyle w:val="Style6"/>
        <w:keepNext w:val="0"/>
        <w:keepLines w:val="0"/>
        <w:widowControl w:val="0"/>
        <w:shd w:val="clear" w:color="auto" w:fill="auto"/>
        <w:bidi w:val="0"/>
        <w:spacing w:before="0" w:after="0"/>
        <w:ind w:left="0" w:right="0" w:firstLine="720"/>
        <w:jc w:val="both"/>
      </w:pPr>
      <w:r>
        <w:rPr>
          <w:rStyle w:val="CharStyle7"/>
          <w:i/>
          <w:iCs/>
        </w:rPr>
        <w:t>В таком случае компания Б. Браун не несет ответственности за качество работы кабелей Комбитранс с преобразователями и наборами других производителей, а также за точность получаемых данных о давлении пациента.</w:t>
      </w:r>
    </w:p>
    <w:p>
      <w:pPr>
        <w:pStyle w:val="Style6"/>
        <w:keepNext w:val="0"/>
        <w:keepLines w:val="0"/>
        <w:widowControl w:val="0"/>
        <w:shd w:val="clear" w:color="auto" w:fill="auto"/>
        <w:bidi w:val="0"/>
        <w:spacing w:before="0" w:after="0"/>
        <w:ind w:left="0" w:right="0" w:firstLine="720"/>
        <w:jc w:val="both"/>
      </w:pPr>
      <w:r>
        <w:rPr>
          <w:rStyle w:val="CharStyle7"/>
          <w:i/>
          <w:iCs/>
        </w:rPr>
        <w:t>Также, использование несовместимых расходных материалов влечет за собой сокращение срока службы кабелей.</w:t>
      </w:r>
      <w:r>
        <w:rPr>
          <w:rStyle w:val="CharStyle7"/>
        </w:rPr>
        <w:t>».</w:t>
      </w:r>
    </w:p>
    <w:p>
      <w:pPr>
        <w:pStyle w:val="Style6"/>
        <w:keepNext w:val="0"/>
        <w:keepLines w:val="0"/>
        <w:widowControl w:val="0"/>
        <w:shd w:val="clear" w:color="auto" w:fill="auto"/>
        <w:bidi w:val="0"/>
        <w:spacing w:before="0" w:after="0"/>
        <w:ind w:left="0" w:right="0" w:firstLine="720"/>
        <w:jc w:val="both"/>
        <w:sectPr>
          <w:headerReference w:type="default" r:id="rId17"/>
          <w:footerReference w:type="default" r:id="rId18"/>
          <w:footnotePr>
            <w:pos w:val="pageBottom"/>
            <w:numFmt w:val="decimal"/>
            <w:numRestart w:val="continuous"/>
          </w:footnotePr>
          <w:pgSz w:w="11900" w:h="16840"/>
          <w:pgMar w:top="1162" w:right="543" w:bottom="1085" w:left="1089" w:header="0" w:footer="3" w:gutter="0"/>
          <w:cols w:space="720"/>
          <w:noEndnote/>
          <w:rtlGutter w:val="0"/>
          <w:docGrid w:linePitch="360"/>
        </w:sectPr>
      </w:pPr>
      <w:r>
        <w:rPr>
          <w:rStyle w:val="CharStyle7"/>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представитель Заявителя пояснил, что в составе заявки участника закупки ООО «Комплект-Сервис» представлены достоверные сведения о характеристиках предлагаемых к поставке изделий, в том числе достоверные сведения о наличии у предлагаемого к поставке изделия «Набор с датчиком для измерения артериального давления» характеристики «Встроенный кабель с четырехконтактным разъемом, совместимый с соединительным кабелем Комбитранс производства Б.Браун Мельзунген АГ, имеющимся у заказчика: Наличие».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частности представитель Заявителя указал, что в эксплуатационной документации нм медицинское изделие «Набор </w:t>
      </w:r>
      <w:r>
        <w:rPr>
          <w:rStyle w:val="CharStyle7"/>
          <w:lang w:val="en-US" w:eastAsia="en-US"/>
        </w:rPr>
        <w:t xml:space="preserve">VAIT® </w:t>
      </w:r>
      <w:r>
        <w:rPr>
          <w:rStyle w:val="CharStyle7"/>
        </w:rPr>
        <w:t xml:space="preserve">для инвазивного измерения давления одноразовый, стерильный, с принадлежностями по ТУ </w:t>
      </w:r>
      <w:r>
        <w:rPr>
          <w:rStyle w:val="CharStyle7"/>
          <w:lang w:val="en-US" w:eastAsia="en-US"/>
        </w:rPr>
        <w:t xml:space="preserve">26.60.12-03-03254652-2024» </w:t>
      </w:r>
      <w:r>
        <w:rPr>
          <w:rStyle w:val="CharStyle7"/>
        </w:rPr>
        <w:t xml:space="preserve">отсутствуют ограничения по применению изделия совместно с иными изделиями, при этом производитель предлагаемого к поставке изделия ООО «ВАЙТ Медикал» в информационном письме </w:t>
      </w:r>
      <w:r>
        <w:rPr>
          <w:rStyle w:val="CharStyle7"/>
          <w:lang w:val="en-US" w:eastAsia="en-US"/>
        </w:rPr>
        <w:t xml:space="preserve">№8/09-25 </w:t>
      </w:r>
      <w:r>
        <w:rPr>
          <w:rStyle w:val="CharStyle7"/>
        </w:rPr>
        <w:t xml:space="preserve">от </w:t>
      </w:r>
      <w:r>
        <w:rPr>
          <w:rStyle w:val="CharStyle7"/>
          <w:lang w:val="en-US" w:eastAsia="en-US"/>
        </w:rPr>
        <w:t xml:space="preserve">05.09.2025 </w:t>
      </w:r>
      <w:r>
        <w:rPr>
          <w:rStyle w:val="CharStyle7"/>
        </w:rPr>
        <w:t>указал на соответствие предлагаемого к поставке изделия требованиям извещения об осуществлении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как установлено Комиссией Управления, в эксплуатационной документации на медицинское изделие «кабель Комбитранс» (регистрационное удостоверение №РЗН </w:t>
      </w:r>
      <w:r>
        <w:rPr>
          <w:rStyle w:val="CharStyle7"/>
          <w:lang w:val="en-US" w:eastAsia="en-US"/>
        </w:rPr>
        <w:t xml:space="preserve">2013/245 </w:t>
      </w:r>
      <w:r>
        <w:rPr>
          <w:rStyle w:val="CharStyle7"/>
        </w:rPr>
        <w:t xml:space="preserve">от </w:t>
      </w:r>
      <w:r>
        <w:rPr>
          <w:rStyle w:val="CharStyle7"/>
          <w:lang w:val="en-US" w:eastAsia="en-US"/>
        </w:rPr>
        <w:t xml:space="preserve">20.07.2017), </w:t>
      </w:r>
      <w:r>
        <w:rPr>
          <w:rStyle w:val="CharStyle7"/>
        </w:rPr>
        <w:t>с которым должно быть совместимо закупаемое в рамках данной конкурентной процедуры изделие, отсутствует указание об исключительной совместимости такого изделия с изделиями производства компании «Б.Браун Мельзунген АГ», а также отсутствует запрет на применение изделия совместно с изделиями иных производителей.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приходит к выводу, что, вопреки представленном на заседании Комиссии Управления информационному письму ООО «Б.Браун Медикал» </w:t>
      </w:r>
      <w:r>
        <w:rPr>
          <w:rStyle w:val="CharStyle7"/>
          <w:lang w:val="en-US" w:eastAsia="en-US"/>
        </w:rPr>
        <w:t xml:space="preserve">№082/26 </w:t>
      </w:r>
      <w:r>
        <w:rPr>
          <w:rStyle w:val="CharStyle7"/>
        </w:rPr>
        <w:t xml:space="preserve">ББМ от </w:t>
      </w:r>
      <w:r>
        <w:rPr>
          <w:rStyle w:val="CharStyle7"/>
          <w:lang w:val="en-US" w:eastAsia="en-US"/>
        </w:rPr>
        <w:t xml:space="preserve">28.04.2026, </w:t>
      </w:r>
      <w:r>
        <w:rPr>
          <w:rStyle w:val="CharStyle7"/>
        </w:rPr>
        <w:t>производителем изделия «кабель Комбитранс» в эксплуатационной документации не установлен ограниченный перечень медицинских изделий, совместимый с таким изделием, ввиду чего с изделием могут быть совместимы изделия иных производителей.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этом Комиссия Управления отмечает, что при наличии противоречивых сведений, содержащихся в письме уполномоченного представителя производителя изделия и документах, размещенных в Реестре медицинских изделий, Комиссия Управления, в отсутствие технической документации на медицинское изделие, руководствуется документами и информацией размещенной в Реестре медицинских изделий.</w:t>
      </w:r>
    </w:p>
    <w:p>
      <w:pPr>
        <w:pStyle w:val="Style6"/>
        <w:keepNext w:val="0"/>
        <w:keepLines w:val="0"/>
        <w:widowControl w:val="0"/>
        <w:shd w:val="clear" w:color="auto" w:fill="auto"/>
        <w:bidi w:val="0"/>
        <w:spacing w:before="0" w:after="0" w:line="276" w:lineRule="auto"/>
        <w:ind w:left="0" w:right="0" w:firstLine="700"/>
        <w:jc w:val="both"/>
        <w:rPr>
          <w:sz w:val="24"/>
          <w:szCs w:val="24"/>
        </w:rPr>
        <w:sectPr>
          <w:headerReference w:type="default" r:id="rId19"/>
          <w:footerReference w:type="default" r:id="rId20"/>
          <w:footnotePr>
            <w:pos w:val="pageBottom"/>
            <w:numFmt w:val="decimal"/>
            <w:numRestart w:val="continuous"/>
          </w:footnotePr>
          <w:pgSz w:w="11900" w:h="16840"/>
          <w:pgMar w:top="1162" w:right="536" w:bottom="677" w:left="1101" w:header="0" w:footer="249" w:gutter="0"/>
          <w:cols w:space="720"/>
          <w:noEndnote/>
          <w:rtlGutter w:val="0"/>
          <w:docGrid w:linePitch="360"/>
        </w:sectPr>
      </w:pPr>
      <w:r>
        <w:rPr>
          <w:rStyle w:val="CharStyle7"/>
        </w:rPr>
        <w:t xml:space="preserve">Комиссия Управления отмечает, что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w:t>
      </w:r>
      <w:r>
        <w:rPr>
          <w:rStyle w:val="CharStyle7"/>
          <w:lang w:val="en-US" w:eastAsia="en-US"/>
        </w:rPr>
        <w:t xml:space="preserve">24.02.2005 № 3 </w:t>
      </w:r>
      <w:r>
        <w:rPr>
          <w:rStyle w:val="CharStyle7"/>
        </w:rPr>
        <w:t xml:space="preserve">«О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w:t>
      </w:r>
      <w:r>
        <w:rPr>
          <w:rStyle w:val="CharStyle7"/>
          <w:sz w:val="24"/>
          <w:szCs w:val="24"/>
          <w:lang w:val="en-US" w:eastAsia="en-US"/>
        </w:rPr>
        <w:t>2026-23860</w:t>
      </w:r>
    </w:p>
    <w:p>
      <w:pPr>
        <w:pStyle w:val="Style6"/>
        <w:keepNext w:val="0"/>
        <w:keepLines w:val="0"/>
        <w:widowControl w:val="0"/>
        <w:shd w:val="clear" w:color="auto" w:fill="auto"/>
        <w:bidi w:val="0"/>
        <w:spacing w:before="0" w:after="0"/>
        <w:ind w:left="0" w:right="0" w:firstLine="0"/>
        <w:jc w:val="both"/>
      </w:pPr>
      <w:r>
        <w:rPr>
          <w:rStyle w:val="CharStyle7"/>
        </w:rPr>
        <w:t xml:space="preserve">относятся оспариваемые сведения (п. </w:t>
      </w:r>
      <w:r>
        <w:rPr>
          <w:rStyle w:val="CharStyle7"/>
          <w:lang w:val="en-US" w:eastAsia="en-US"/>
        </w:rPr>
        <w:t>7).</w:t>
      </w:r>
    </w:p>
    <w:p>
      <w:pPr>
        <w:pStyle w:val="Style6"/>
        <w:keepNext w:val="0"/>
        <w:keepLines w:val="0"/>
        <w:widowControl w:val="0"/>
        <w:shd w:val="clear" w:color="auto" w:fill="auto"/>
        <w:bidi w:val="0"/>
        <w:spacing w:before="0" w:after="0"/>
        <w:ind w:left="0" w:right="0" w:firstLine="700"/>
        <w:jc w:val="both"/>
      </w:pPr>
      <w:r>
        <w:rPr>
          <w:rStyle w:val="CharStyle7"/>
        </w:rPr>
        <w:t>Кроме того, предоставленное комиссии по осуществлению закупок право отклонить поданную заявку в случае обнаружения в ней недостоверных сведений свидетельствует о том, что располагать такой информацией комиссия по осуществлению закупок Заказчика должна непосредственно на момент принятия соответствующего решения, причем располагать именно доказательствами такой недостоверности, но не руководствоваться предположениями.</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как следует из материалов дела, каких-либо оснований сомневаться в достоверности представленных в них сведений в контексте ч. </w:t>
      </w:r>
      <w:r>
        <w:rPr>
          <w:rStyle w:val="CharStyle7"/>
          <w:lang w:val="en-US" w:eastAsia="en-US"/>
        </w:rPr>
        <w:t xml:space="preserve">5 </w:t>
      </w:r>
      <w:r>
        <w:rPr>
          <w:rStyle w:val="CharStyle7"/>
        </w:rPr>
        <w:t xml:space="preserve">ст. </w:t>
      </w:r>
      <w:r>
        <w:rPr>
          <w:rStyle w:val="CharStyle7"/>
          <w:lang w:val="en-US" w:eastAsia="en-US"/>
        </w:rPr>
        <w:t xml:space="preserve">10 </w:t>
      </w:r>
      <w:r>
        <w:rPr>
          <w:rStyle w:val="CharStyle7"/>
        </w:rPr>
        <w:t>Гражданского кодекса Российской Федерации (ГК РФ) (в силу которой добросовестность участников гражданских правоотношений и разумность их действий предполагаются) у комиссии по осуществлению закупок Заказчика не имелось, неопровержимыми доказательствами недостоверности таких сведений, на момент рассмотрения заявки участника закупки, последняя не располагала.</w:t>
      </w:r>
    </w:p>
    <w:p>
      <w:pPr>
        <w:pStyle w:val="Style6"/>
        <w:keepNext w:val="0"/>
        <w:keepLines w:val="0"/>
        <w:widowControl w:val="0"/>
        <w:shd w:val="clear" w:color="auto" w:fill="auto"/>
        <w:bidi w:val="0"/>
        <w:spacing w:before="0" w:after="0"/>
        <w:ind w:left="0" w:right="0" w:firstLine="700"/>
        <w:jc w:val="both"/>
      </w:pPr>
      <w:r>
        <w:rPr>
          <w:rStyle w:val="CharStyle7"/>
        </w:rPr>
        <w:t>Доказательств обратного представителем Заказчика на заседании Комиссии Управления не представлено.</w:t>
      </w:r>
    </w:p>
    <w:p>
      <w:pPr>
        <w:pStyle w:val="Style6"/>
        <w:keepNext w:val="0"/>
        <w:keepLines w:val="0"/>
        <w:widowControl w:val="0"/>
        <w:shd w:val="clear" w:color="auto" w:fill="auto"/>
        <w:bidi w:val="0"/>
        <w:spacing w:before="0" w:after="0"/>
        <w:ind w:left="0" w:right="0" w:firstLine="700"/>
        <w:jc w:val="both"/>
      </w:pPr>
      <w:r>
        <w:rPr>
          <w:rStyle w:val="CharStyle7"/>
        </w:rPr>
        <w:t>На основании вышеизложенного Комиссия Управления приходит к выводу, что у комиссии по осуществлению закупок Заказчика, на момент рассмотрения заявки участника закупки, отсутствовали документы и сведения, подтверждающие факт представления участником закупки недостоверных сведений в составе заявки на участие в закупке, в связи с чем у комиссии по осуществлению закупок Заказчика отсутствовали правовые основания к отклонению заявки Заявителя, в рамках информации, указанной в протоколе подведения итогов.</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приходит к выводу о том, что решение комиссии по осуществлению закупок Заказчика в части отклонения заявки ООО «Комплект-Сервис», по основанию указанному в протоколе подведения итогов,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ч.7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pPr>
      <w:r>
        <w:rPr>
          <w:rStyle w:val="CharStyle7"/>
          <w:lang w:val="en-US" w:eastAsia="en-US"/>
        </w:rPr>
        <w:t xml:space="preserve">2. </w:t>
      </w:r>
      <w:r>
        <w:rPr>
          <w:rStyle w:val="CharStyle7"/>
        </w:rPr>
        <w:t xml:space="preserve">Также в составе жалобы Заявитель указывает, что в составе заявки участника закупки с идентификационным номером </w:t>
      </w:r>
      <w:r>
        <w:rPr>
          <w:rStyle w:val="CharStyle7"/>
          <w:lang w:val="en-US" w:eastAsia="en-US"/>
        </w:rPr>
        <w:t xml:space="preserve">121107423 </w:t>
      </w:r>
      <w:r>
        <w:rPr>
          <w:rStyle w:val="CharStyle7"/>
        </w:rPr>
        <w:t xml:space="preserve">не указан товарный знак предлагаемого к поставке изделия, в то время как, по мнению представителя Заявителя участником закупки к поставке представлен товар с товарным знаком (номер государственной регистрации </w:t>
      </w:r>
      <w:r>
        <w:rPr>
          <w:rStyle w:val="CharStyle7"/>
          <w:lang w:val="en-US" w:eastAsia="en-US"/>
        </w:rPr>
        <w:t>686895).</w:t>
      </w:r>
    </w:p>
    <w:p>
      <w:pPr>
        <w:pStyle w:val="Style6"/>
        <w:keepNext w:val="0"/>
        <w:keepLines w:val="0"/>
        <w:widowControl w:val="0"/>
        <w:shd w:val="clear" w:color="auto" w:fill="auto"/>
        <w:bidi w:val="0"/>
        <w:spacing w:before="0" w:after="0"/>
        <w:ind w:left="0" w:right="0" w:firstLine="700"/>
        <w:jc w:val="both"/>
      </w:pPr>
      <w:r>
        <w:rPr>
          <w:rStyle w:val="CharStyle7"/>
        </w:rPr>
        <w:t xml:space="preserve">Согласно п.1 ст.1482 Гражданского кодекса Российской Федерации (далее </w:t>
      </w:r>
      <w:r>
        <w:rPr>
          <w:rStyle w:val="CharStyle7"/>
          <w:lang w:val="en-US" w:eastAsia="en-US"/>
        </w:rPr>
        <w:t xml:space="preserve">- </w:t>
      </w:r>
      <w:r>
        <w:rPr>
          <w:rStyle w:val="CharStyle7"/>
        </w:rPr>
        <w:t>ГК РФ) в качестве товарных знаков могут быть зарегистрированы словесные, изобразительные, объемные и другие обозначения или их комбинации.</w:t>
      </w:r>
    </w:p>
    <w:p>
      <w:pPr>
        <w:pStyle w:val="Style6"/>
        <w:keepNext w:val="0"/>
        <w:keepLines w:val="0"/>
        <w:widowControl w:val="0"/>
        <w:shd w:val="clear" w:color="auto" w:fill="auto"/>
        <w:bidi w:val="0"/>
        <w:spacing w:before="0" w:after="0"/>
        <w:ind w:left="0" w:right="0" w:firstLine="700"/>
        <w:jc w:val="both"/>
      </w:pPr>
      <w:r>
        <w:rPr>
          <w:rStyle w:val="CharStyle7"/>
        </w:rPr>
        <w:t>В соответствии с п.1 ст.1477 ГК РФ на товарный знак, то есть на обозначение, служащее для индивидуализации товаров, признается исключительное право, удостоверяемое свидетельством на товарный знак.</w:t>
      </w:r>
    </w:p>
    <w:p>
      <w:pPr>
        <w:pStyle w:val="Style6"/>
        <w:keepNext w:val="0"/>
        <w:keepLines w:val="0"/>
        <w:widowControl w:val="0"/>
        <w:shd w:val="clear" w:color="auto" w:fill="auto"/>
        <w:bidi w:val="0"/>
        <w:spacing w:before="0" w:after="0"/>
        <w:ind w:left="0" w:right="0" w:firstLine="700"/>
        <w:jc w:val="both"/>
      </w:pPr>
      <w:r>
        <w:rPr>
          <w:rStyle w:val="CharStyle7"/>
        </w:rPr>
        <w:t>В силу п.1 ст.1481 ГК РФ на товарный знак, зарегистрированный в Государственном реестре товарных знаков, выдается свидетельство на товарный знак.</w:t>
      </w:r>
    </w:p>
    <w:p>
      <w:pPr>
        <w:pStyle w:val="Style6"/>
        <w:keepNext w:val="0"/>
        <w:keepLines w:val="0"/>
        <w:widowControl w:val="0"/>
        <w:shd w:val="clear" w:color="auto" w:fill="auto"/>
        <w:bidi w:val="0"/>
        <w:spacing w:before="0" w:after="0"/>
        <w:ind w:left="0" w:right="0" w:firstLine="700"/>
        <w:jc w:val="both"/>
      </w:pPr>
      <w:r>
        <w:rPr>
          <w:rStyle w:val="CharStyle7"/>
        </w:rPr>
        <w:t>Согласно ст.1479 ГК РФ на территории Российской Федерации действует исключительное право на товарный знак, зарегистрированный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pPr>
        <w:pStyle w:val="Style6"/>
        <w:keepNext w:val="0"/>
        <w:keepLines w:val="0"/>
        <w:widowControl w:val="0"/>
        <w:shd w:val="clear" w:color="auto" w:fill="auto"/>
        <w:bidi w:val="0"/>
        <w:spacing w:before="0" w:after="0"/>
        <w:ind w:left="0" w:right="0" w:firstLine="700"/>
        <w:jc w:val="both"/>
      </w:pPr>
      <w:r>
        <w:rPr>
          <w:rStyle w:val="CharStyle7"/>
        </w:rPr>
        <w:t>Комиссия Управления отмечает, что в случае предложения к поставке товара обладающего товарным знаком, участник закупки обязан указать сведения о таком товарном знаке в составе заявки на участие в закупке.</w:t>
      </w:r>
    </w:p>
    <w:p>
      <w:pPr>
        <w:pStyle w:val="Style6"/>
        <w:keepNext w:val="0"/>
        <w:keepLines w:val="0"/>
        <w:widowControl w:val="0"/>
        <w:shd w:val="clear" w:color="auto" w:fill="auto"/>
        <w:bidi w:val="0"/>
        <w:spacing w:before="0" w:after="0"/>
        <w:ind w:left="0" w:right="0" w:firstLine="700"/>
        <w:jc w:val="both"/>
      </w:pPr>
      <w:r>
        <w:rPr>
          <w:rStyle w:val="CharStyle7"/>
        </w:rPr>
        <w:t xml:space="preserve">Комиссией Управления установлено, что реестре товарных знаков зарегистрирован товарный знак «Б. Браун» (номер государственной регистрации </w:t>
      </w:r>
      <w:r>
        <w:rPr>
          <w:rStyle w:val="CharStyle7"/>
          <w:lang w:val="en-US" w:eastAsia="en-US"/>
        </w:rPr>
        <w:t xml:space="preserve">686895), </w:t>
      </w:r>
      <w:r>
        <w:rPr>
          <w:rStyle w:val="CharStyle7"/>
        </w:rPr>
        <w:t xml:space="preserve">при этом данный товарный знак распространяется в том числе на следующие товары: </w:t>
      </w:r>
      <w:r>
        <w:rPr>
          <w:rStyle w:val="CharStyle7"/>
          <w:lang w:val="en-US" w:eastAsia="en-US"/>
        </w:rPr>
        <w:t xml:space="preserve">«10 - </w:t>
      </w:r>
      <w:r>
        <w:rPr>
          <w:rStyle w:val="CharStyle7"/>
        </w:rPr>
        <w:t xml:space="preserve">приборы, инструменты и принадлежности хирургические, </w:t>
      </w:r>
      <w:r>
        <w:rPr>
          <w:rStyle w:val="CharStyle7"/>
          <w:b/>
          <w:bCs/>
          <w:i/>
          <w:iCs/>
        </w:rPr>
        <w:t>медицинские</w:t>
      </w:r>
      <w:r>
        <w:rPr>
          <w:rStyle w:val="CharStyle7"/>
        </w:rPr>
        <w:t>, стоматологические и ветеринарные» «Правообладатель: Б. Браун Мельзунген АГ».</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Комиссией Управления установлено, что в составе заявки участника закупки ООО «РМ-Системс» с идентификационным номером </w:t>
      </w:r>
      <w:r>
        <w:rPr>
          <w:rStyle w:val="CharStyle7"/>
          <w:lang w:val="en-US" w:eastAsia="en-US"/>
        </w:rPr>
        <w:t xml:space="preserve">121107423 </w:t>
      </w:r>
      <w:r>
        <w:rPr>
          <w:rStyle w:val="CharStyle7"/>
        </w:rPr>
        <w:t xml:space="preserve">к поставке, например по </w:t>
      </w:r>
      <w:r>
        <w:rPr>
          <w:rStyle w:val="CharStyle7"/>
          <w:lang w:val="en-US" w:eastAsia="en-US"/>
        </w:rPr>
        <w:t xml:space="preserve">1., </w:t>
      </w:r>
      <w:r>
        <w:rPr>
          <w:rStyle w:val="CharStyle7"/>
        </w:rPr>
        <w:t xml:space="preserve">представлено изделие </w:t>
      </w:r>
      <w:r>
        <w:rPr>
          <w:rStyle w:val="CharStyle7"/>
          <w:lang w:val="en-US" w:eastAsia="en-US"/>
        </w:rPr>
        <w:t xml:space="preserve">«1. </w:t>
      </w:r>
      <w:r>
        <w:rPr>
          <w:rStyle w:val="CharStyle7"/>
        </w:rPr>
        <w:t xml:space="preserve">Набор с датчиком для измерения артериального давления, </w:t>
      </w:r>
      <w:r>
        <w:rPr>
          <w:rStyle w:val="CharStyle7"/>
          <w:lang w:val="en-US" w:eastAsia="en-US"/>
        </w:rPr>
        <w:t xml:space="preserve">26.60.12.129-00000093, 26.60.12.129» </w:t>
      </w:r>
      <w:r>
        <w:rPr>
          <w:rStyle w:val="CharStyle7"/>
        </w:rPr>
        <w:t xml:space="preserve">«Наименование медицинского изделия в соответствии с РУ: РЗН </w:t>
      </w:r>
      <w:r>
        <w:rPr>
          <w:rStyle w:val="CharStyle7"/>
          <w:lang w:val="en-US" w:eastAsia="en-US"/>
        </w:rPr>
        <w:t xml:space="preserve">2013/245. </w:t>
      </w:r>
      <w:r>
        <w:rPr>
          <w:rStyle w:val="CharStyle7"/>
        </w:rPr>
        <w:t xml:space="preserve">Наборы для контроля давления с преобразователем КОМБИТРАНС </w:t>
      </w:r>
      <w:r>
        <w:rPr>
          <w:rStyle w:val="CharStyle7"/>
          <w:lang w:val="en-US" w:eastAsia="en-US"/>
        </w:rPr>
        <w:t xml:space="preserve">(Combitrans monitoring set) </w:t>
      </w:r>
      <w:r>
        <w:rPr>
          <w:rStyle w:val="CharStyle7"/>
        </w:rPr>
        <w:t xml:space="preserve">(вид </w:t>
      </w:r>
      <w:r>
        <w:rPr>
          <w:rStyle w:val="CharStyle7"/>
          <w:lang w:val="en-US" w:eastAsia="en-US"/>
        </w:rPr>
        <w:t xml:space="preserve">145140).», </w:t>
      </w:r>
      <w:r>
        <w:rPr>
          <w:rStyle w:val="CharStyle7"/>
        </w:rPr>
        <w:t>однако сведения о товарном знаке предлагаемого к поставке изделия не представлены.</w:t>
      </w:r>
    </w:p>
    <w:p>
      <w:pPr>
        <w:pStyle w:val="Style6"/>
        <w:keepNext w:val="0"/>
        <w:keepLines w:val="0"/>
        <w:widowControl w:val="0"/>
        <w:shd w:val="clear" w:color="auto" w:fill="auto"/>
        <w:bidi w:val="0"/>
        <w:spacing w:before="0" w:after="0"/>
        <w:ind w:left="0" w:right="0" w:firstLine="700"/>
        <w:jc w:val="both"/>
      </w:pPr>
      <w:r>
        <w:rPr>
          <w:rStyle w:val="CharStyle7"/>
        </w:rPr>
        <w:t xml:space="preserve">При этом, как установлено Комиссией Управления, производителем предлагаемого к поставке изделия «Устройства для контроля кровяного давления КОМБИДИН </w:t>
      </w:r>
      <w:r>
        <w:rPr>
          <w:rStyle w:val="CharStyle7"/>
          <w:lang w:val="en-US" w:eastAsia="en-US"/>
        </w:rPr>
        <w:t xml:space="preserve">(Combidyn), </w:t>
      </w:r>
      <w:r>
        <w:rPr>
          <w:rStyle w:val="CharStyle7"/>
        </w:rPr>
        <w:t xml:space="preserve">КОМБИТРАНС </w:t>
      </w:r>
      <w:r>
        <w:rPr>
          <w:rStyle w:val="CharStyle7"/>
          <w:lang w:val="en-US" w:eastAsia="en-US"/>
        </w:rPr>
        <w:t xml:space="preserve">(Combitrans), </w:t>
      </w:r>
      <w:r>
        <w:rPr>
          <w:rStyle w:val="CharStyle7"/>
        </w:rPr>
        <w:t xml:space="preserve">СЕНСОНОР </w:t>
      </w:r>
      <w:r>
        <w:rPr>
          <w:rStyle w:val="CharStyle7"/>
          <w:lang w:val="en-US" w:eastAsia="en-US"/>
        </w:rPr>
        <w:t xml:space="preserve">(SensoNor)» </w:t>
      </w:r>
      <w:r>
        <w:rPr>
          <w:rStyle w:val="CharStyle7"/>
        </w:rPr>
        <w:t>является компания «Б. Браун Мельзунген АГ».</w:t>
      </w:r>
    </w:p>
    <w:p>
      <w:pPr>
        <w:pStyle w:val="Style6"/>
        <w:keepNext w:val="0"/>
        <w:keepLines w:val="0"/>
        <w:widowControl w:val="0"/>
        <w:shd w:val="clear" w:color="auto" w:fill="auto"/>
        <w:bidi w:val="0"/>
        <w:spacing w:before="0" w:after="0"/>
        <w:ind w:left="0" w:right="0" w:firstLine="700"/>
        <w:jc w:val="both"/>
      </w:pPr>
      <w:r>
        <w:rPr>
          <w:rStyle w:val="CharStyle7"/>
        </w:rPr>
        <w:t xml:space="preserve">На заседании Комиссии Управления представитель ООО «РМ-Системс» пояснил, что товарный знак «Б. Браун» (номер государственной регистрации </w:t>
      </w:r>
      <w:r>
        <w:rPr>
          <w:rStyle w:val="CharStyle7"/>
          <w:lang w:val="en-US" w:eastAsia="en-US"/>
        </w:rPr>
        <w:t xml:space="preserve">686895) </w:t>
      </w:r>
      <w:r>
        <w:rPr>
          <w:rStyle w:val="CharStyle7"/>
        </w:rPr>
        <w:t>не распространяется на изделия, предлагаемые ООО «РМ-Системс» к поставке в рамках данной конкурентной процедуры, в связи с чем сведения о таком товарном знаке в составе заявки участника не указывались.</w:t>
      </w:r>
    </w:p>
    <w:p>
      <w:pPr>
        <w:pStyle w:val="Style6"/>
        <w:keepNext w:val="0"/>
        <w:keepLines w:val="0"/>
        <w:widowControl w:val="0"/>
        <w:shd w:val="clear" w:color="auto" w:fill="auto"/>
        <w:bidi w:val="0"/>
        <w:spacing w:before="0" w:after="0"/>
        <w:ind w:left="0" w:right="0" w:firstLine="700"/>
        <w:jc w:val="both"/>
      </w:pPr>
      <w:r>
        <w:rPr>
          <w:rStyle w:val="CharStyle7"/>
        </w:rPr>
        <w:t xml:space="preserve">Вместе с этим каких-либо документов сведений, указывающих, что товарный знак «Б. Браун» (номер государственной регистрации </w:t>
      </w:r>
      <w:r>
        <w:rPr>
          <w:rStyle w:val="CharStyle7"/>
          <w:lang w:val="en-US" w:eastAsia="en-US"/>
        </w:rPr>
        <w:t xml:space="preserve">686895) </w:t>
      </w:r>
      <w:r>
        <w:rPr>
          <w:rStyle w:val="CharStyle7"/>
        </w:rPr>
        <w:t xml:space="preserve">не распространяется на изделия «Устройства для контроля кровяного давления КОМБИДИН </w:t>
      </w:r>
      <w:r>
        <w:rPr>
          <w:rStyle w:val="CharStyle7"/>
          <w:lang w:val="en-US" w:eastAsia="en-US"/>
        </w:rPr>
        <w:t xml:space="preserve">(Combidyn), </w:t>
      </w:r>
      <w:r>
        <w:rPr>
          <w:rStyle w:val="CharStyle7"/>
        </w:rPr>
        <w:t xml:space="preserve">КОМБИТРАНС </w:t>
      </w:r>
      <w:r>
        <w:rPr>
          <w:rStyle w:val="CharStyle7"/>
          <w:lang w:val="en-US" w:eastAsia="en-US"/>
        </w:rPr>
        <w:t xml:space="preserve">(Combitrans), </w:t>
      </w:r>
      <w:r>
        <w:rPr>
          <w:rStyle w:val="CharStyle7"/>
        </w:rPr>
        <w:t xml:space="preserve">СЕНСОНОР </w:t>
      </w:r>
      <w:r>
        <w:rPr>
          <w:rStyle w:val="CharStyle7"/>
          <w:lang w:val="en-US" w:eastAsia="en-US"/>
        </w:rPr>
        <w:t xml:space="preserve">(SensoNor)», </w:t>
      </w:r>
      <w:r>
        <w:rPr>
          <w:rStyle w:val="CharStyle7"/>
        </w:rPr>
        <w:t>предложенные к поставке ООО «РМ-Системс» на заседании Комиссии Управления не представлен, в то время как в сведениях о товарном знаке указано, что такой товарный знак распространяется, в том числе на приборы, инструменты, принадлежности медицинские.</w:t>
      </w:r>
    </w:p>
    <w:p>
      <w:pPr>
        <w:pStyle w:val="Style6"/>
        <w:keepNext w:val="0"/>
        <w:keepLines w:val="0"/>
        <w:widowControl w:val="0"/>
        <w:shd w:val="clear" w:color="auto" w:fill="auto"/>
        <w:bidi w:val="0"/>
        <w:spacing w:before="0" w:after="0"/>
        <w:ind w:left="0" w:right="0" w:firstLine="700"/>
        <w:jc w:val="both"/>
      </w:pPr>
      <w:r>
        <w:rPr>
          <w:rStyle w:val="CharStyle7"/>
        </w:rPr>
        <w:t>Таким образом, комиссия Управления приходит к выводу, что товарный знак</w:t>
      </w:r>
    </w:p>
    <w:p>
      <w:pPr>
        <w:pStyle w:val="Style6"/>
        <w:keepNext w:val="0"/>
        <w:keepLines w:val="0"/>
        <w:widowControl w:val="0"/>
        <w:shd w:val="clear" w:color="auto" w:fill="auto"/>
        <w:bidi w:val="0"/>
        <w:spacing w:before="0" w:after="0"/>
        <w:ind w:left="0" w:right="0" w:firstLine="0"/>
        <w:jc w:val="both"/>
      </w:pPr>
      <w:r>
        <w:rPr>
          <w:rStyle w:val="CharStyle7"/>
        </w:rPr>
        <w:t xml:space="preserve">«Б. Браун» (номер государственной регистрации </w:t>
      </w:r>
      <w:r>
        <w:rPr>
          <w:rStyle w:val="CharStyle7"/>
          <w:lang w:val="en-US" w:eastAsia="en-US"/>
        </w:rPr>
        <w:t xml:space="preserve">686895) </w:t>
      </w:r>
      <w:r>
        <w:rPr>
          <w:rStyle w:val="CharStyle7"/>
        </w:rPr>
        <w:t xml:space="preserve">распространяется на изделие «Устройства для контроля кровяного давления КОМБИДИН </w:t>
      </w:r>
      <w:r>
        <w:rPr>
          <w:rStyle w:val="CharStyle7"/>
          <w:lang w:val="en-US" w:eastAsia="en-US"/>
        </w:rPr>
        <w:t xml:space="preserve">(Combidyn), </w:t>
      </w:r>
      <w:r>
        <w:rPr>
          <w:rStyle w:val="CharStyle7"/>
        </w:rPr>
        <w:t xml:space="preserve">КОМБИТРАНС </w:t>
      </w:r>
      <w:r>
        <w:rPr>
          <w:rStyle w:val="CharStyle7"/>
          <w:lang w:val="en-US" w:eastAsia="en-US"/>
        </w:rPr>
        <w:t xml:space="preserve">(Combitrans), </w:t>
      </w:r>
      <w:r>
        <w:rPr>
          <w:rStyle w:val="CharStyle7"/>
        </w:rPr>
        <w:t xml:space="preserve">СЕНСОНОР </w:t>
      </w:r>
      <w:r>
        <w:rPr>
          <w:rStyle w:val="CharStyle7"/>
          <w:lang w:val="en-US" w:eastAsia="en-US"/>
        </w:rPr>
        <w:t xml:space="preserve">(SensoNor)», </w:t>
      </w:r>
      <w:r>
        <w:rPr>
          <w:rStyle w:val="CharStyle7"/>
        </w:rPr>
        <w:t xml:space="preserve">в связи с чем заявка участника закупки с идентификационным номером </w:t>
      </w:r>
      <w:r>
        <w:rPr>
          <w:rStyle w:val="CharStyle7"/>
          <w:lang w:val="en-US" w:eastAsia="en-US"/>
        </w:rPr>
        <w:t xml:space="preserve">121107423 </w:t>
      </w:r>
      <w:r>
        <w:rPr>
          <w:rStyle w:val="CharStyle7"/>
        </w:rPr>
        <w:t>не соответствует требованиям извещения, так как в рамках заявки представлено к изделие обладающее товарным знаком, однако сведения о товарном знаке не представлены.</w:t>
      </w:r>
    </w:p>
    <w:p>
      <w:pPr>
        <w:pStyle w:val="Style6"/>
        <w:keepNext w:val="0"/>
        <w:keepLines w:val="0"/>
        <w:widowControl w:val="0"/>
        <w:shd w:val="clear" w:color="auto" w:fill="auto"/>
        <w:bidi w:val="0"/>
        <w:spacing w:before="0" w:after="0"/>
        <w:ind w:left="0" w:right="0" w:firstLine="700"/>
        <w:jc w:val="both"/>
      </w:pPr>
      <w:r>
        <w:rPr>
          <w:rStyle w:val="CharStyle7"/>
        </w:rPr>
        <w:t>Иного на заседании Комиссии Управления не выявлено.</w:t>
      </w:r>
    </w:p>
    <w:p>
      <w:pPr>
        <w:pStyle w:val="Style6"/>
        <w:keepNext w:val="0"/>
        <w:keepLines w:val="0"/>
        <w:widowControl w:val="0"/>
        <w:shd w:val="clear" w:color="auto" w:fill="auto"/>
        <w:bidi w:val="0"/>
        <w:spacing w:before="0" w:after="0"/>
        <w:ind w:left="0" w:right="0" w:firstLine="700"/>
        <w:jc w:val="both"/>
      </w:pPr>
      <w:r>
        <w:rPr>
          <w:rStyle w:val="CharStyle7"/>
        </w:rPr>
        <w:t xml:space="preserve">На основании вышеизложенного, Комиссия Управления приходит к выводу о том, что решение комиссии по осуществлению закупок Заказчика в части признания соответствующей требованиям извещения заявки участника закупки с идентификационным номером </w:t>
      </w:r>
      <w:r>
        <w:rPr>
          <w:rStyle w:val="CharStyle7"/>
          <w:lang w:val="en-US" w:eastAsia="en-US"/>
        </w:rPr>
        <w:t xml:space="preserve">121107423 </w:t>
      </w:r>
      <w:r>
        <w:rPr>
          <w:rStyle w:val="CharStyle7"/>
        </w:rPr>
        <w:t>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ч.7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ind w:left="0" w:right="0" w:firstLine="700"/>
        <w:jc w:val="both"/>
        <w:sectPr>
          <w:headerReference w:type="default" r:id="rId21"/>
          <w:footerReference w:type="default" r:id="rId22"/>
          <w:footnotePr>
            <w:pos w:val="pageBottom"/>
            <w:numFmt w:val="decimal"/>
            <w:numRestart w:val="continuous"/>
          </w:footnotePr>
          <w:pgSz w:w="11900" w:h="16840"/>
          <w:pgMar w:top="1138" w:right="551" w:bottom="1085" w:left="1105"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00"/>
        <w:ind w:left="0" w:right="0" w:firstLine="0"/>
        <w:jc w:val="center"/>
      </w:pPr>
      <w:r>
        <w:rPr>
          <w:rStyle w:val="CharStyle7"/>
          <w:b/>
          <w:bCs/>
        </w:rPr>
        <w:t>Р Е Ш И Л А:</w:t>
      </w:r>
    </w:p>
    <w:p>
      <w:pPr>
        <w:pStyle w:val="Style6"/>
        <w:keepNext w:val="0"/>
        <w:keepLines w:val="0"/>
        <w:widowControl w:val="0"/>
        <w:numPr>
          <w:ilvl w:val="0"/>
          <w:numId w:val="7"/>
        </w:numPr>
        <w:shd w:val="clear" w:color="auto" w:fill="auto"/>
        <w:tabs>
          <w:tab w:pos="1416" w:val="left"/>
        </w:tabs>
        <w:bidi w:val="0"/>
        <w:spacing w:before="0" w:after="0"/>
        <w:ind w:left="0" w:right="0" w:firstLine="700"/>
        <w:jc w:val="both"/>
      </w:pPr>
      <w:r>
        <w:rPr>
          <w:rStyle w:val="CharStyle7"/>
        </w:rPr>
        <w:t>Признать жалобу ООО «Комплект-Сервис» на действия комиссии по осуществлению закупок ФГБУ «НМИЦ ССХ им. А.Н. Бакулева» Минздрава России обоснованной.</w:t>
      </w:r>
    </w:p>
    <w:p>
      <w:pPr>
        <w:pStyle w:val="Style6"/>
        <w:keepNext w:val="0"/>
        <w:keepLines w:val="0"/>
        <w:widowControl w:val="0"/>
        <w:numPr>
          <w:ilvl w:val="0"/>
          <w:numId w:val="7"/>
        </w:numPr>
        <w:shd w:val="clear" w:color="auto" w:fill="auto"/>
        <w:tabs>
          <w:tab w:pos="1416" w:val="left"/>
        </w:tabs>
        <w:bidi w:val="0"/>
        <w:spacing w:before="0" w:after="0"/>
        <w:ind w:left="0" w:right="0" w:firstLine="700"/>
        <w:jc w:val="both"/>
      </w:pPr>
      <w:r>
        <w:rPr>
          <w:rStyle w:val="CharStyle7"/>
        </w:rPr>
        <w:t>Признать в действиях комиссии по осуществлению закупок Заказчика нарушение пп.«а» п.1 ч.5 ст.49 Закона о контрактной системе.</w:t>
      </w:r>
    </w:p>
    <w:p>
      <w:pPr>
        <w:pStyle w:val="Style6"/>
        <w:keepNext w:val="0"/>
        <w:keepLines w:val="0"/>
        <w:widowControl w:val="0"/>
        <w:numPr>
          <w:ilvl w:val="0"/>
          <w:numId w:val="7"/>
        </w:numPr>
        <w:shd w:val="clear" w:color="auto" w:fill="auto"/>
        <w:tabs>
          <w:tab w:pos="1416" w:val="left"/>
        </w:tabs>
        <w:bidi w:val="0"/>
        <w:spacing w:before="0" w:after="0"/>
        <w:ind w:left="0" w:right="0" w:firstLine="700"/>
        <w:jc w:val="both"/>
      </w:pPr>
      <w:r>
        <w:rPr>
          <w:rStyle w:val="CharStyle7"/>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7"/>
        </w:numPr>
        <w:shd w:val="clear" w:color="auto" w:fill="auto"/>
        <w:tabs>
          <w:tab w:pos="1416" w:val="left"/>
        </w:tabs>
        <w:bidi w:val="0"/>
        <w:spacing w:before="0" w:after="300"/>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32" w:bottom="1484" w:left="1106" w:header="0" w:footer="3" w:gutter="0"/>
          <w:cols w:space="720"/>
          <w:noEndnote/>
          <w:rtlGutter w:val="0"/>
          <w:docGrid w:linePitch="360"/>
        </w:sectPr>
      </w:pPr>
      <w:r>
        <mc:AlternateContent>
          <mc:Choice Requires="wps">
            <w:drawing>
              <wp:anchor distT="127000" distB="216535" distL="0" distR="0" simplePos="0" relativeHeight="125829382" behindDoc="0" locked="0" layoutInCell="1" allowOverlap="1">
                <wp:simplePos x="0" y="0"/>
                <wp:positionH relativeFrom="page">
                  <wp:posOffset>739140</wp:posOffset>
                </wp:positionH>
                <wp:positionV relativeFrom="paragraph">
                  <wp:posOffset>127000</wp:posOffset>
                </wp:positionV>
                <wp:extent cx="1880870" cy="252730"/>
                <wp:wrapTopAndBottom/>
                <wp:docPr id="27" name="Shape 27"/>
                <a:graphic xmlns:a="http://schemas.openxmlformats.org/drawingml/2006/main">
                  <a:graphicData uri="http://schemas.microsoft.com/office/word/2010/wordprocessingShape">
                    <wps:wsp>
                      <wps:cNvSpPr txBox="1"/>
                      <wps:spPr>
                        <a:xfrm>
                          <a:ext cx="1880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3" type="#_x0000_t202" style="position:absolute;margin-left:58.200000000000003pt;margin-top:10.pt;width:148.09999999999999pt;height:19.900000000000002pt;z-index:-125829371;mso-wrap-distance-left:0;mso-wrap-distance-top:10.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00025" distB="0" distL="0" distR="1786255" simplePos="0" relativeHeight="125829384" behindDoc="0" locked="0" layoutInCell="1" allowOverlap="1">
            <wp:simplePos x="0" y="0"/>
            <wp:positionH relativeFrom="page">
              <wp:posOffset>3107690</wp:posOffset>
            </wp:positionH>
            <wp:positionV relativeFrom="paragraph">
              <wp:posOffset>200025</wp:posOffset>
            </wp:positionV>
            <wp:extent cx="359410" cy="39624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3528060</wp:posOffset>
                </wp:positionH>
                <wp:positionV relativeFrom="paragraph">
                  <wp:posOffset>288290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80000000000001pt;margin-top:22.699999999999999pt;width:135.59999999999999pt;height:20.400000000000002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6535" distL="0" distR="0" simplePos="0" relativeHeight="125829385" behindDoc="0" locked="0" layoutInCell="1" allowOverlap="1">
                <wp:simplePos x="0" y="0"/>
                <wp:positionH relativeFrom="page">
                  <wp:posOffset>5908675</wp:posOffset>
                </wp:positionH>
                <wp:positionV relativeFrom="paragraph">
                  <wp:posOffset>127000</wp:posOffset>
                </wp:positionV>
                <wp:extent cx="1307465" cy="252730"/>
                <wp:wrapTopAndBottom/>
                <wp:docPr id="33" name="Shape 33"/>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9" type="#_x0000_t202" style="position:absolute;margin-left:465.25pt;margin-top:10.pt;width:102.95pt;height:19.900000000000002pt;z-index:-125829368;mso-wrap-distance-left:0;mso-wrap-distance-top:10.pt;mso-wrap-distance-right:0;mso-wrap-distance-bottom:17.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2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580" w:line="240" w:lineRule="auto"/>
        <w:ind w:right="0" w:firstLine="0"/>
        <w:jc w:val="left"/>
      </w:pPr>
      <w:r>
        <w:rPr>
          <w:rStyle w:val="CharStyle22"/>
        </w:rPr>
        <w:t xml:space="preserve">Действителен с 19.05.2025 </w:t>
      </w:r>
      <w:r>
        <w:rPr>
          <w:rStyle w:val="CharStyle22"/>
          <w:color w:val="5E5E5E"/>
        </w:rPr>
        <w:t xml:space="preserve">по </w:t>
      </w:r>
      <w:r>
        <w:rPr>
          <w:rStyle w:val="CharStyle22"/>
        </w:rPr>
        <w:t>12.08.2026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640" w:line="240" w:lineRule="auto"/>
        <w:ind w:left="0" w:right="0" w:firstLine="820"/>
        <w:jc w:val="left"/>
      </w:pPr>
      <w:r>
        <w:drawing>
          <wp:anchor distT="0" distB="0" distL="114300" distR="1900555" simplePos="0" relativeHeight="125829387" behindDoc="0" locked="0" layoutInCell="1" allowOverlap="1">
            <wp:simplePos x="0" y="0"/>
            <wp:positionH relativeFrom="page">
              <wp:posOffset>3073400</wp:posOffset>
            </wp:positionH>
            <wp:positionV relativeFrom="paragraph">
              <wp:posOffset>25400</wp:posOffset>
            </wp:positionV>
            <wp:extent cx="389890" cy="55499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5"/>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464185</wp:posOffset>
                </wp:positionV>
                <wp:extent cx="1283335" cy="100330"/>
                <wp:wrapNone/>
                <wp:docPr id="37" name="Shape 3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80.90000000000003pt;margin-top:36.550000000000004pt;width:101.05pt;height:7.9000000000000004pt;z-index:251657731;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3527425</wp:posOffset>
                </wp:positionH>
                <wp:positionV relativeFrom="paragraph">
                  <wp:posOffset>147320</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75pt;margin-top:11.6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А.А. Матюшенко</w:t>
      </w:r>
    </w:p>
    <w:p>
      <w:pPr>
        <w:pStyle w:val="Style21"/>
        <w:keepNext w:val="0"/>
        <w:keepLines w:val="0"/>
        <w:widowControl w:val="0"/>
        <w:shd w:val="clear" w:color="auto" w:fill="auto"/>
        <w:bidi w:val="0"/>
        <w:spacing w:before="0" w:after="0"/>
        <w:ind w:right="0" w:firstLine="0"/>
        <w:jc w:val="left"/>
      </w:pPr>
      <w:r>
        <w:rPr>
          <w:rStyle w:val="CharStyle22"/>
        </w:rPr>
        <w:t xml:space="preserve">Кому выдан: </w:t>
      </w:r>
      <w:r>
        <w:rPr>
          <w:rStyle w:val="CharStyle22"/>
          <w:color w:val="000000"/>
        </w:rPr>
        <w:t>Матюшенко Александр Александрович</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lang w:val="en-US" w:eastAsia="en-US"/>
        </w:rPr>
        <w:t>4F595A5C3E5ABB2DD77161F08559FC07</w:t>
      </w:r>
    </w:p>
    <w:p>
      <w:pPr>
        <w:pStyle w:val="Style21"/>
        <w:keepNext w:val="0"/>
        <w:keepLines w:val="0"/>
        <w:widowControl w:val="0"/>
        <w:shd w:val="clear" w:color="auto" w:fill="auto"/>
        <w:bidi w:val="0"/>
        <w:spacing w:before="0" w:after="0"/>
        <w:ind w:right="0" w:firstLine="0"/>
        <w:jc w:val="left"/>
      </w:pPr>
      <w:r>
        <w:rPr>
          <w:rStyle w:val="CharStyle22"/>
        </w:rPr>
        <w:t xml:space="preserve">Действителен с 22.07.2025 </w:t>
      </w:r>
      <w:r>
        <w:rPr>
          <w:rStyle w:val="CharStyle22"/>
          <w:color w:val="5E5E5E"/>
        </w:rPr>
        <w:t xml:space="preserve">по </w:t>
      </w:r>
      <w:r>
        <w:rPr>
          <w:rStyle w:val="CharStyle22"/>
        </w:rPr>
        <w:t>15.10.2026</w:t>
      </w:r>
    </w:p>
    <w:p>
      <w:pPr>
        <w:widowControl w:val="0"/>
        <w:spacing w:line="1" w:lineRule="exact"/>
      </w:pPr>
      <w:r>
        <mc:AlternateContent>
          <mc:Choice Requires="wps">
            <w:drawing>
              <wp:anchor distT="440690" distB="0" distL="0" distR="0" simplePos="0" relativeHeight="125829388" behindDoc="0" locked="0" layoutInCell="1" allowOverlap="1">
                <wp:simplePos x="0" y="0"/>
                <wp:positionH relativeFrom="page">
                  <wp:posOffset>3524885</wp:posOffset>
                </wp:positionH>
                <wp:positionV relativeFrom="paragraph">
                  <wp:posOffset>440690</wp:posOffset>
                </wp:positionV>
                <wp:extent cx="1725295" cy="259080"/>
                <wp:wrapTopAndBottom/>
                <wp:docPr id="41" name="Shape 41"/>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7.55000000000001pt;margin-top:34.700000000000003pt;width:135.84999999999999pt;height:20.400000000000002pt;z-index:-125829365;mso-wrap-distance-left:0;mso-wrap-distance-top:34.700000000000003pt;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79400" distB="167640" distL="0" distR="0" simplePos="0" relativeHeight="125829390" behindDoc="0" locked="0" layoutInCell="1" allowOverlap="1">
                <wp:simplePos x="0" y="0"/>
                <wp:positionH relativeFrom="page">
                  <wp:posOffset>5741035</wp:posOffset>
                </wp:positionH>
                <wp:positionV relativeFrom="paragraph">
                  <wp:posOffset>279400</wp:posOffset>
                </wp:positionV>
                <wp:extent cx="1478280" cy="252730"/>
                <wp:wrapTopAndBottom/>
                <wp:docPr id="43" name="Shape 43"/>
                <a:graphic xmlns:a="http://schemas.openxmlformats.org/drawingml/2006/main">
                  <a:graphicData uri="http://schemas.microsoft.com/office/word/2010/wordprocessingShape">
                    <wps:wsp>
                      <wps:cNvSpPr txBox="1"/>
                      <wps:spPr>
                        <a:xfrm>
                          <a:ext cx="147828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А.С. Гелмутдинова</w:t>
                            </w:r>
                          </w:p>
                        </w:txbxContent>
                      </wps:txbx>
                      <wps:bodyPr wrap="none" lIns="0" tIns="0" rIns="0" bIns="0">
                        <a:noAutoFit/>
                      </wps:bodyPr>
                    </wps:wsp>
                  </a:graphicData>
                </a:graphic>
              </wp:anchor>
            </w:drawing>
          </mc:Choice>
          <mc:Fallback>
            <w:pict>
              <v:shape id="_x0000_s1069" type="#_x0000_t202" style="position:absolute;margin-left:452.05000000000001pt;margin-top:22.pt;width:116.40000000000001pt;height:19.900000000000002pt;z-index:-125829363;mso-wrap-distance-left:0;mso-wrap-distance-top:22.pt;mso-wrap-distance-right:0;mso-wrap-distance-bottom:13.2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А.С. Гелмутдинова</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9"/>
          <w:color w:val="FFFFFF"/>
          <w:sz w:val="12"/>
          <w:szCs w:val="12"/>
        </w:rPr>
        <w:t>СВЕДЕНИЯ О СЕРТИФИКАТЕ ЭП</w:t>
      </w:r>
    </w:p>
    <w:p>
      <w:pPr>
        <w:pStyle w:val="Style21"/>
        <w:keepNext w:val="0"/>
        <w:keepLines w:val="0"/>
        <w:widowControl w:val="0"/>
        <w:shd w:val="clear" w:color="auto" w:fill="auto"/>
        <w:bidi w:val="0"/>
        <w:spacing w:before="0" w:after="0"/>
        <w:ind w:right="0" w:firstLine="0"/>
        <w:jc w:val="left"/>
      </w:pPr>
      <w:r>
        <w:rPr>
          <w:rStyle w:val="CharStyle22"/>
        </w:rPr>
        <w:t xml:space="preserve">Кому выдан: </w:t>
      </w:r>
      <w:r>
        <w:rPr>
          <w:rStyle w:val="CharStyle22"/>
          <w:color w:val="000000"/>
        </w:rPr>
        <w:t>ГЕЛМУТДИНОВА АНАСТАСИЯ СЕРГЕЕВНА</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rPr>
        <w:t>723501СС21703599976371</w:t>
      </w:r>
      <w:r>
        <w:rPr>
          <w:rStyle w:val="CharStyle22"/>
          <w:lang w:val="en-US" w:eastAsia="en-US"/>
        </w:rPr>
        <w:t>4F5C652689</w:t>
      </w:r>
    </w:p>
    <w:p>
      <w:pPr>
        <w:pStyle w:val="Style21"/>
        <w:keepNext w:val="0"/>
        <w:keepLines w:val="0"/>
        <w:widowControl w:val="0"/>
        <w:shd w:val="clear" w:color="auto" w:fill="auto"/>
        <w:bidi w:val="0"/>
        <w:spacing w:before="0" w:after="2160"/>
        <w:ind w:right="0" w:firstLine="0"/>
        <w:jc w:val="left"/>
      </w:pPr>
      <w:r>
        <w:rPr>
          <w:rStyle w:val="CharStyle22"/>
        </w:rPr>
        <w:t xml:space="preserve">Действителен с 09.02.2026 </w:t>
      </w:r>
      <w:r>
        <w:rPr>
          <w:rStyle w:val="CharStyle22"/>
          <w:color w:val="5E5E5E"/>
        </w:rPr>
        <w:t xml:space="preserve">по </w:t>
      </w:r>
      <w:r>
        <w:rPr>
          <w:rStyle w:val="CharStyle22"/>
        </w:rPr>
        <w:t>05.05.2027</w:t>
      </w:r>
    </w:p>
    <w:p>
      <w:pPr>
        <w:pStyle w:val="Style26"/>
        <w:keepNext w:val="0"/>
        <w:keepLines w:val="0"/>
        <w:widowControl w:val="0"/>
        <w:shd w:val="clear" w:color="auto" w:fill="auto"/>
        <w:bidi w:val="0"/>
        <w:spacing w:before="0" w:line="240" w:lineRule="auto"/>
        <w:ind w:left="0" w:right="0" w:firstLine="0"/>
        <w:jc w:val="left"/>
      </w:pPr>
      <w:r>
        <w:rPr>
          <w:rStyle w:val="CharStyle27"/>
        </w:rPr>
        <w:t>Исп. Матюшенко А.А., 8(495) 784-75-05</w:t>
      </w:r>
    </w:p>
    <w:sectPr>
      <w:footnotePr>
        <w:pos w:val="pageBottom"/>
        <w:numFmt w:val="decimal"/>
        <w:numRestart w:val="continuous"/>
      </w:footnotePr>
      <w:type w:val="continuous"/>
      <w:pgSz w:w="11900" w:h="16840"/>
      <w:pgMar w:top="1158" w:right="532" w:bottom="148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712470</wp:posOffset>
              </wp:positionH>
              <wp:positionV relativeFrom="page">
                <wp:posOffset>10291445</wp:posOffset>
              </wp:positionV>
              <wp:extent cx="734695" cy="128270"/>
              <wp:wrapNone/>
              <wp:docPr id="9" name="Shape 9"/>
              <a:graphic xmlns:a="http://schemas.openxmlformats.org/drawingml/2006/main">
                <a:graphicData uri="http://schemas.microsoft.com/office/word/2010/wordprocessingShape">
                  <wps:wsp>
                    <wps:cNvSpPr txBox="1"/>
                    <wps:spPr>
                      <a:xfrm>
                        <a:ext cx="734695" cy="1282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2026-23860</w:t>
                          </w:r>
                        </w:p>
                      </w:txbxContent>
                    </wps:txbx>
                    <wps:bodyPr wrap="none" lIns="0" tIns="0" rIns="0" bIns="0">
                      <a:spAutoFit/>
                    </wps:bodyPr>
                  </wps:wsp>
                </a:graphicData>
              </a:graphic>
            </wp:anchor>
          </w:drawing>
        </mc:Choice>
        <mc:Fallback>
          <w:pict>
            <v:shape id="_x0000_s1035" type="#_x0000_t202" style="position:absolute;margin-left:56.100000000000001pt;margin-top:810.35000000000002pt;width:57.850000000000001pt;height:10.1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2026-23860</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3505"/>
              <wp:wrapNone/>
              <wp:docPr id="13" name="Shape 13"/>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2026-23860</w:t>
                          </w:r>
                        </w:p>
                      </w:txbxContent>
                    </wps:txbx>
                    <wps:bodyPr wrap="none" lIns="0" tIns="0" rIns="0" bIns="0">
                      <a:spAutoFit/>
                    </wps:bodyPr>
                  </wps:wsp>
                </a:graphicData>
              </a:graphic>
            </wp:anchor>
          </w:drawing>
        </mc:Choice>
        <mc:Fallback>
          <w:pict>
            <v:shape id="_x0000_s1039" type="#_x0000_t202" style="position:absolute;margin-left:57.200000000000003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2026-23860</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726440</wp:posOffset>
              </wp:positionH>
              <wp:positionV relativeFrom="page">
                <wp:posOffset>10092690</wp:posOffset>
              </wp:positionV>
              <wp:extent cx="722630" cy="103505"/>
              <wp:wrapNone/>
              <wp:docPr id="19" name="Shape 1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2026-23860</w:t>
                          </w:r>
                        </w:p>
                      </w:txbxContent>
                    </wps:txbx>
                    <wps:bodyPr wrap="none" lIns="0" tIns="0" rIns="0" bIns="0">
                      <a:spAutoFit/>
                    </wps:bodyPr>
                  </wps:wsp>
                </a:graphicData>
              </a:graphic>
            </wp:anchor>
          </w:drawing>
        </mc:Choice>
        <mc:Fallback>
          <w:pict>
            <v:shape id="_x0000_s1045" type="#_x0000_t202" style="position:absolute;margin-left:57.200000000000003pt;margin-top:794.70000000000005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2026-23860</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726440</wp:posOffset>
              </wp:positionH>
              <wp:positionV relativeFrom="page">
                <wp:posOffset>10092690</wp:posOffset>
              </wp:positionV>
              <wp:extent cx="722630" cy="103505"/>
              <wp:wrapNone/>
              <wp:docPr id="25" name="Shape 2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2026-23860</w:t>
                          </w:r>
                        </w:p>
                      </w:txbxContent>
                    </wps:txbx>
                    <wps:bodyPr wrap="none" lIns="0" tIns="0" rIns="0" bIns="0">
                      <a:spAutoFit/>
                    </wps:bodyPr>
                  </wps:wsp>
                </a:graphicData>
              </a:graphic>
            </wp:anchor>
          </w:drawing>
        </mc:Choice>
        <mc:Fallback>
          <w:pict>
            <v:shape id="_x0000_s1051" type="#_x0000_t202" style="position:absolute;margin-left:57.200000000000003pt;margin-top:794.70000000000005pt;width:56.899999999999999pt;height:8.1500000000000004pt;z-index:-18874404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rStyle w:val="CharStyle9"/>
                        <w:sz w:val="24"/>
                        <w:szCs w:val="24"/>
                      </w:rPr>
                      <w:t>2026-23860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447040</wp:posOffset>
              </wp:positionV>
              <wp:extent cx="73025" cy="85090"/>
              <wp:wrapNone/>
              <wp:docPr id="7" name="Shape 7"/>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9.19999999999999pt;margin-top:35.200000000000003pt;width:5.75pt;height:6.7000000000000002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3884295</wp:posOffset>
              </wp:positionH>
              <wp:positionV relativeFrom="page">
                <wp:posOffset>473075</wp:posOffset>
              </wp:positionV>
              <wp:extent cx="128270" cy="69850"/>
              <wp:wrapNone/>
              <wp:docPr id="11" name="Shape 11"/>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5.85000000000002pt;margin-top:37.25pt;width:10.1pt;height:5.5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447040</wp:posOffset>
              </wp:positionV>
              <wp:extent cx="73025" cy="85090"/>
              <wp:wrapNone/>
              <wp:docPr id="15" name="Shape 15"/>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9.19999999999999pt;margin-top:35.200000000000003pt;width:5.75pt;height:6.7000000000000002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3884295</wp:posOffset>
              </wp:positionH>
              <wp:positionV relativeFrom="page">
                <wp:posOffset>473075</wp:posOffset>
              </wp:positionV>
              <wp:extent cx="128270" cy="69850"/>
              <wp:wrapNone/>
              <wp:docPr id="17" name="Shape 17"/>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5.85000000000002pt;margin-top:37.25pt;width:10.1pt;height:5.5pt;z-index:-18874405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3926840</wp:posOffset>
              </wp:positionH>
              <wp:positionV relativeFrom="page">
                <wp:posOffset>447040</wp:posOffset>
              </wp:positionV>
              <wp:extent cx="73025" cy="85090"/>
              <wp:wrapNone/>
              <wp:docPr id="21" name="Shape 21"/>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7" type="#_x0000_t202" style="position:absolute;margin-left:309.19999999999999pt;margin-top:35.200000000000003pt;width:5.75pt;height:6.7000000000000002pt;z-index:-18874404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3884295</wp:posOffset>
              </wp:positionH>
              <wp:positionV relativeFrom="page">
                <wp:posOffset>473075</wp:posOffset>
              </wp:positionV>
              <wp:extent cx="128270" cy="69850"/>
              <wp:wrapNone/>
              <wp:docPr id="23" name="Shape 23"/>
              <a:graphic xmlns:a="http://schemas.openxmlformats.org/drawingml/2006/main">
                <a:graphicData uri="http://schemas.microsoft.com/office/word/2010/wordprocessingShape">
                  <wps:wsp>
                    <wps:cNvSpPr txBox="1"/>
                    <wps:spPr>
                      <a:xfrm>
                        <a:ext cx="128270" cy="698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wps:txbx>
                    <wps:bodyPr wrap="none" lIns="0" tIns="0" rIns="0" bIns="0">
                      <a:spAutoFit/>
                    </wps:bodyPr>
                  </wps:wsp>
                </a:graphicData>
              </a:graphic>
            </wp:anchor>
          </w:drawing>
        </mc:Choice>
        <mc:Fallback>
          <w:pict>
            <v:shape id="_x0000_s1049" type="#_x0000_t202" style="position:absolute;margin-left:305.85000000000002pt;margin-top:37.25pt;width:10.1pt;height:5.5pt;z-index:-18874404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9"/>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Header or footer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Body text (4)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34343"/>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Header or footer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Body text (4)"/>
    <w:basedOn w:val="Normal"/>
    <w:link w:val="CharStyle19"/>
    <w:pPr>
      <w:widowControl w:val="0"/>
      <w:shd w:val="clear" w:color="auto" w:fill="auto"/>
      <w:spacing w:after="40"/>
      <w:ind w:left="2260"/>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2)"/>
    <w:basedOn w:val="Normal"/>
    <w:link w:val="CharStyle22"/>
    <w:pPr>
      <w:widowControl w:val="0"/>
      <w:shd w:val="clear" w:color="auto" w:fill="auto"/>
      <w:spacing w:line="266" w:lineRule="auto"/>
      <w:ind w:left="3820"/>
    </w:pPr>
    <w:rPr>
      <w:rFonts w:ascii="Arial" w:eastAsia="Arial" w:hAnsi="Arial" w:cs="Arial"/>
      <w:b w:val="0"/>
      <w:bCs w:val="0"/>
      <w:i w:val="0"/>
      <w:iCs w:val="0"/>
      <w:smallCaps w:val="0"/>
      <w:strike w:val="0"/>
      <w:color w:val="434343"/>
      <w:sz w:val="12"/>
      <w:szCs w:val="12"/>
      <w:u w:val="none"/>
    </w:rPr>
  </w:style>
  <w:style w:type="paragraph" w:customStyle="1" w:styleId="Style26">
    <w:name w:val="Body text (5)"/>
    <w:basedOn w:val="Normal"/>
    <w:link w:val="CharStyle27"/>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header" Target="header6.xml"/><Relationship Id="rId20" Type="http://schemas.openxmlformats.org/officeDocument/2006/relationships/footer" Target="footer6.xml"/><Relationship Id="rId21" Type="http://schemas.openxmlformats.org/officeDocument/2006/relationships/header" Target="header7.xml"/><Relationship Id="rId22" Type="http://schemas.openxmlformats.org/officeDocument/2006/relationships/footer" Target="footer7.xml"/><Relationship Id="rId23" Type="http://schemas.openxmlformats.org/officeDocument/2006/relationships/image" Target="media/image3.jpeg"/><Relationship Id="rId24" Type="http://schemas.openxmlformats.org/officeDocument/2006/relationships/image" Target="media/image3.jpeg" TargetMode="External"/><Relationship Id="rId25" Type="http://schemas.openxmlformats.org/officeDocument/2006/relationships/image" Target="media/image4.jpeg"/><Relationship Id="rId26" Type="http://schemas.openxmlformats.org/officeDocument/2006/relationships/image" Target="media/image4.jpeg" TargetMode="External"/></Relationships>
</file>