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3.05.2026</w:t>
      </w:r>
      <w:r>
        <w:fldChar w:fldCharType="end"/>
      </w:r>
      <w:r>
        <w:rPr>
          <w:rStyle w:val="CharStyle10"/>
        </w:rPr>
        <w:tab/>
        <w:t>№ 20199/26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ГБУЗ «Центр паллиативной помощи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"mailto:pavlovama@zdrav.mos.ru" </w:instrText>
      </w:r>
      <w:r>
        <w:fldChar w:fldCharType="separate"/>
      </w:r>
      <w:r>
        <w:rPr>
          <w:rStyle w:val="CharStyle12"/>
          <w:lang w:val="en-US" w:eastAsia="en-US"/>
        </w:rPr>
        <w:t>pavlovama@zdrav.mos.ru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«СОФ «Баро»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"mailto:soft_baro@mail.ru" </w:instrText>
      </w:r>
      <w:r>
        <w:fldChar w:fldCharType="separate"/>
      </w:r>
      <w:r>
        <w:rPr>
          <w:rStyle w:val="CharStyle12"/>
          <w:lang w:val="en-US" w:eastAsia="en-US"/>
        </w:rPr>
        <w:t>soft_baro@mail.ru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073" w:bottom="584" w:left="1293" w:header="0" w:footer="3" w:gutter="0"/>
          <w:pgNumType w:start="1"/>
          <w:cols w:num="2" w:space="720" w:equalWidth="0">
            <w:col w:w="3806" w:space="1301"/>
            <w:col w:w="4426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0" w:bottom="4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077/06/105-5769/2026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07.05.2026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0"/>
        <w:ind w:left="0" w:right="0" w:firstLine="700"/>
        <w:jc w:val="both"/>
      </w:pPr>
      <w:r>
        <w:rPr>
          <w:rStyle w:val="CharStyle12"/>
        </w:rPr>
        <w:t xml:space="preserve">на основании решения Комиссии Управления от </w:t>
      </w:r>
      <w:r>
        <w:rPr>
          <w:rStyle w:val="CharStyle12"/>
          <w:b/>
          <w:bCs/>
          <w:lang w:val="en-US" w:eastAsia="en-US"/>
        </w:rPr>
        <w:t xml:space="preserve">07.05.2026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№077/06/105-5769/2026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«СОФ «Баро»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Заявитель) на действия ГБУЗ «Центр Паллиативной Помощи ДЗМ»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медицинских расходных материалов (шприцы) для нужд ГБУЗ «Центр паллиативной помощи ДЗМ» в </w:t>
      </w:r>
      <w:r>
        <w:rPr>
          <w:rStyle w:val="CharStyle12"/>
          <w:lang w:val="en-US" w:eastAsia="en-US"/>
        </w:rPr>
        <w:t xml:space="preserve">2026 </w:t>
      </w:r>
      <w:r>
        <w:rPr>
          <w:rStyle w:val="CharStyle12"/>
        </w:rPr>
        <w:t xml:space="preserve">году (Закупка </w:t>
      </w:r>
      <w:r>
        <w:rPr>
          <w:rStyle w:val="CharStyle12"/>
          <w:lang w:val="en-US" w:eastAsia="en-US"/>
        </w:rPr>
        <w:t xml:space="preserve">№0873200001726000174)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5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рабочих дня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07.05.2026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№077/06/105-5769/2026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07.05.2026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№077/06/105-5769/2026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40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в срок до </w:t>
      </w:r>
      <w:r>
        <w:rPr>
          <w:rStyle w:val="CharStyle12"/>
          <w:b/>
          <w:bCs/>
          <w:lang w:val="en-US" w:eastAsia="en-US"/>
        </w:rPr>
        <w:t xml:space="preserve">05.06.2026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>8(495) 607</w:t>
        <w:softHyphen/>
        <w:t xml:space="preserve">42-92),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537" w:bottom="490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</w:t>
      </w:r>
      <w:r>
        <w:rPr>
          <w:rStyle w:val="CharStyle12"/>
          <w:sz w:val="24"/>
          <w:szCs w:val="24"/>
          <w:lang w:val="en-US" w:eastAsia="en-US"/>
        </w:rPr>
        <w:t>2026-23509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2"/>
        </w:rPr>
        <w:t>Кодекса Российской Федерации об административных правонарушениях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07.05.2026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№077/06/105-5769/2026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3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4099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8087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11.pt;width:148.09999999999999pt;height:19.699999999999999pt;z-index:-125829375;mso-wrap-distance-left:0;mso-wrap-distance-top:11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6255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549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615315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94999999999999pt;margin-top:48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298450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80000000000001pt;margin-top:23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40995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139700</wp:posOffset>
                </wp:positionV>
                <wp:extent cx="1307465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25pt;margin-top:11.pt;width:102.95pt;height:19.699999999999999pt;z-index:-125829372;mso-wrap-distance-left:0;mso-wrap-distance-top:11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Матюшенко Александр Александрович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0.90000000000003pt;margin-top:36.64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5000000000001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760"/>
        <w:ind w:right="0" w:firstLine="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05.05.2027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2026-23509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804.30000000000007pt;width:58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2026-23509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2026-23509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2026-23509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202565</wp:posOffset>
              </wp:positionV>
              <wp:extent cx="7620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15.950000000000001pt;width:6.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509270</wp:posOffset>
              </wp:positionV>
              <wp:extent cx="57785" cy="698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40.100000000000001pt;width:4.5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