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40" w:lineRule="auto"/>
        <w:ind w:left="0" w:right="0" w:firstLine="0"/>
        <w:jc w:val="center"/>
        <w:rPr>
          <w:sz w:val="134"/>
          <w:szCs w:val="134"/>
        </w:rPr>
      </w:pPr>
      <w:r>
        <w:rPr>
          <w:rStyle w:val="CharStyle3"/>
          <w:color w:val="476097"/>
          <w:sz w:val="134"/>
          <w:szCs w:val="134"/>
          <w:lang w:val="en-US" w:eastAsia="en-US"/>
        </w:rPr>
        <w:t>e</w:t>
      </w:r>
    </w:p>
    <w:p>
      <w:pPr>
        <w:pStyle w:val="Style8"/>
        <w:keepNext w:val="0"/>
        <w:keepLines w:val="0"/>
        <w:widowControl w:val="0"/>
        <w:shd w:val="clear" w:color="auto" w:fill="auto"/>
        <w:bidi w:val="0"/>
        <w:spacing w:before="0" w:after="160" w:line="288" w:lineRule="auto"/>
        <w:ind w:left="0" w:right="0" w:firstLine="0"/>
        <w:jc w:val="center"/>
        <w:rPr>
          <w:sz w:val="17"/>
          <w:szCs w:val="17"/>
        </w:rPr>
      </w:pPr>
      <w:r>
        <w:rPr>
          <w:rStyle w:val="CharStyle9"/>
          <w:b/>
          <w:bCs/>
          <w:sz w:val="17"/>
          <w:szCs w:val="17"/>
        </w:rPr>
        <w:t>ФЕДЕРАЛЬНАЯ</w:t>
        <w:br/>
        <w:t>АНТИМОНОПОЛЬНАЯ СЛУЖБА</w:t>
      </w:r>
    </w:p>
    <w:p>
      <w:pPr>
        <w:pStyle w:val="Style2"/>
        <w:keepNext w:val="0"/>
        <w:keepLines w:val="0"/>
        <w:widowControl w:val="0"/>
        <w:shd w:val="clear" w:color="auto" w:fill="auto"/>
        <w:bidi w:val="0"/>
        <w:spacing w:before="0" w:after="0" w:line="254" w:lineRule="auto"/>
        <w:ind w:left="0" w:right="0" w:firstLine="0"/>
        <w:jc w:val="center"/>
        <w:rPr>
          <w:sz w:val="19"/>
          <w:szCs w:val="19"/>
        </w:rPr>
      </w:pPr>
      <w:r>
        <w:rPr>
          <w:rStyle w:val="CharStyle3"/>
          <w:b/>
          <w:bCs/>
          <w:color w:val="476097"/>
          <w:sz w:val="19"/>
          <w:szCs w:val="19"/>
        </w:rPr>
        <w:t>УПРАВЛЕНИЕ</w:t>
      </w:r>
    </w:p>
    <w:p>
      <w:pPr>
        <w:pStyle w:val="Style8"/>
        <w:keepNext w:val="0"/>
        <w:keepLines w:val="0"/>
        <w:widowControl w:val="0"/>
        <w:shd w:val="clear" w:color="auto" w:fill="auto"/>
        <w:bidi w:val="0"/>
        <w:spacing w:before="0" w:after="160" w:line="283" w:lineRule="auto"/>
        <w:ind w:left="0" w:right="0" w:firstLine="0"/>
        <w:jc w:val="center"/>
        <w:rPr>
          <w:sz w:val="17"/>
          <w:szCs w:val="17"/>
        </w:rPr>
      </w:pPr>
      <w:r>
        <w:rPr>
          <w:rStyle w:val="CharStyle9"/>
          <w:b/>
          <w:bCs/>
          <w:sz w:val="17"/>
          <w:szCs w:val="17"/>
        </w:rPr>
        <w:t>Федеральной антимонопольной службы</w:t>
        <w:br/>
        <w:t>по Калужской области</w:t>
      </w:r>
    </w:p>
    <w:p>
      <w:pPr>
        <w:pStyle w:val="Style8"/>
        <w:keepNext w:val="0"/>
        <w:keepLines w:val="0"/>
        <w:widowControl w:val="0"/>
        <w:shd w:val="clear" w:color="auto" w:fill="auto"/>
        <w:bidi w:val="0"/>
        <w:spacing w:before="0" w:after="200" w:line="298" w:lineRule="auto"/>
        <w:ind w:left="0" w:right="0" w:firstLine="0"/>
        <w:jc w:val="center"/>
      </w:pPr>
      <w:r>
        <w:rPr>
          <w:rStyle w:val="CharStyle9"/>
        </w:rPr>
        <w:t>пл. Старый Торг, 5, г. Калуга, 248000</w:t>
        <w:br/>
        <w:t>тел. (4842) 57-65-92, факс (4828) 57-65-92</w:t>
        <w:br/>
      </w:r>
      <w:r>
        <w:rPr>
          <w:rStyle w:val="CharStyle9"/>
          <w:lang w:val="en-US" w:eastAsia="en-US"/>
        </w:rPr>
        <w:t xml:space="preserve">e-mail: </w:t>
      </w:r>
      <w:r>
        <w:fldChar w:fldCharType="begin"/>
      </w:r>
      <w:r>
        <w:rPr/>
        <w:instrText> HYPERLINK "mailto:to40@fas.gov.ru" </w:instrText>
      </w:r>
      <w:r>
        <w:fldChar w:fldCharType="separate"/>
      </w:r>
      <w:r>
        <w:rPr>
          <w:rStyle w:val="CharStyle9"/>
          <w:lang w:val="en-US" w:eastAsia="en-US"/>
        </w:rPr>
        <w:t>to40@fas.gov.ru</w:t>
      </w:r>
      <w:r>
        <w:fldChar w:fldCharType="end"/>
      </w:r>
    </w:p>
    <w:p>
      <w:pPr>
        <w:pStyle w:val="Style12"/>
        <w:keepNext/>
        <w:keepLines/>
        <w:widowControl w:val="0"/>
        <w:shd w:val="clear" w:color="auto" w:fill="auto"/>
        <w:tabs>
          <w:tab w:pos="1814" w:val="left"/>
        </w:tabs>
        <w:bidi w:val="0"/>
        <w:spacing w:before="0" w:line="240" w:lineRule="auto"/>
        <w:ind w:left="0" w:right="0" w:firstLine="0"/>
        <w:jc w:val="left"/>
      </w:pPr>
      <w:bookmarkStart w:id="0" w:name="bookmark0"/>
      <w:r>
        <w:rPr>
          <w:rStyle w:val="CharStyle13"/>
        </w:rPr>
        <w:t>1</w:t>
      </w:r>
      <w:r>
        <w:fldChar w:fldCharType="begin"/>
      </w:r>
      <w:r>
        <w:rPr/>
        <w:instrText> HYPERLINK "file://f207ca94-a13c-4ba0-b72d-f018c9eed8f1/" </w:instrText>
      </w:r>
      <w:r>
        <w:fldChar w:fldCharType="separate"/>
      </w:r>
      <w:r>
        <w:rPr>
          <w:rStyle w:val="CharStyle13"/>
        </w:rPr>
        <w:t>4,05.2026</w:t>
      </w:r>
      <w:r>
        <w:rPr>
          <w:rStyle w:val="CharStyle13"/>
          <w:u w:val="none"/>
        </w:rPr>
        <w:tab/>
      </w:r>
      <w:r>
        <w:fldChar w:fldCharType="end"/>
      </w:r>
      <w:r>
        <w:rPr>
          <w:rStyle w:val="CharStyle13"/>
          <w:u w:val="none"/>
        </w:rPr>
        <w:t xml:space="preserve">№ </w:t>
      </w:r>
      <w:r>
        <w:rPr>
          <w:rStyle w:val="CharStyle13"/>
        </w:rPr>
        <w:t>МЧ/2761/2</w:t>
      </w:r>
      <w:r>
        <w:rPr>
          <w:rStyle w:val="CharStyle13"/>
          <w:u w:val="none"/>
        </w:rPr>
        <w:t>6</w:t>
      </w:r>
      <w:bookmarkEnd w:id="0"/>
    </w:p>
    <w:p>
      <w:pPr>
        <w:pStyle w:val="Style2"/>
        <w:keepNext w:val="0"/>
        <w:keepLines w:val="0"/>
        <w:widowControl w:val="0"/>
        <w:shd w:val="clear" w:color="auto" w:fill="auto"/>
        <w:bidi w:val="0"/>
        <w:spacing w:before="0" w:after="620" w:line="266" w:lineRule="auto"/>
        <w:ind w:left="0" w:right="0" w:firstLine="0"/>
        <w:jc w:val="left"/>
        <w:rPr>
          <w:sz w:val="18"/>
          <w:szCs w:val="18"/>
        </w:rPr>
      </w:pPr>
      <w:r>
        <w:rPr>
          <w:rStyle w:val="CharStyle3"/>
          <w:color w:val="476097"/>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pPr>
      <w:r>
        <w:rPr>
          <w:rStyle w:val="CharStyle17"/>
        </w:rPr>
        <w:t>Решение 525</w:t>
      </w:r>
    </w:p>
    <w:p>
      <w:pPr>
        <w:pStyle w:val="Style18"/>
        <w:keepNext w:val="0"/>
        <w:keepLines w:val="0"/>
        <w:widowControl w:val="0"/>
        <w:shd w:val="clear" w:color="auto" w:fill="auto"/>
        <w:bidi w:val="0"/>
        <w:spacing w:before="0" w:after="280" w:line="240" w:lineRule="auto"/>
        <w:ind w:left="0" w:right="0" w:firstLine="0"/>
        <w:jc w:val="left"/>
      </w:pPr>
      <w:r>
        <w:rPr>
          <w:rStyle w:val="CharStyle19"/>
        </w:rPr>
        <w:t xml:space="preserve">ГБУЗ Калужской области «Калужская областная клиническая больница» ул. Вишневского, д. 1, г. Калуга, 248007 </w:t>
      </w:r>
      <w:r>
        <w:rPr>
          <w:rStyle w:val="CharStyle19"/>
          <w:lang w:val="en-US" w:eastAsia="en-US"/>
        </w:rPr>
        <w:t xml:space="preserve">office@kokb40.ru;torgi_kob@mail.ru;kon </w:t>
      </w:r>
      <w:r>
        <w:fldChar w:fldCharType="begin"/>
      </w:r>
      <w:r>
        <w:rPr/>
        <w:instrText> HYPERLINK "mailto:drashovka@kokb40.ru" </w:instrText>
      </w:r>
      <w:r>
        <w:fldChar w:fldCharType="separate"/>
      </w:r>
      <w:r>
        <w:rPr>
          <w:rStyle w:val="CharStyle19"/>
          <w:lang w:val="en-US" w:eastAsia="en-US"/>
        </w:rPr>
        <w:t>drashovka@kokb40.ru</w:t>
      </w:r>
      <w:r>
        <w:fldChar w:fldCharType="end"/>
      </w:r>
    </w:p>
    <w:p>
      <w:pPr>
        <w:pStyle w:val="Style18"/>
        <w:keepNext w:val="0"/>
        <w:keepLines w:val="0"/>
        <w:widowControl w:val="0"/>
        <w:shd w:val="clear" w:color="auto" w:fill="auto"/>
        <w:bidi w:val="0"/>
        <w:spacing w:before="0" w:after="0" w:line="240" w:lineRule="auto"/>
        <w:ind w:left="0" w:right="0" w:firstLine="0"/>
        <w:jc w:val="left"/>
      </w:pPr>
      <w:r>
        <w:rPr>
          <w:rStyle w:val="CharStyle19"/>
        </w:rPr>
        <w:t>ООО «РТС-тендер» наб. Тараса Шевченко, д.23-А, г.</w:t>
      </w:r>
    </w:p>
    <w:p>
      <w:pPr>
        <w:pStyle w:val="Style18"/>
        <w:keepNext w:val="0"/>
        <w:keepLines w:val="0"/>
        <w:widowControl w:val="0"/>
        <w:shd w:val="clear" w:color="auto" w:fill="auto"/>
        <w:bidi w:val="0"/>
        <w:spacing w:before="0" w:after="280" w:line="240" w:lineRule="auto"/>
        <w:ind w:left="0" w:right="0" w:firstLine="0"/>
        <w:jc w:val="left"/>
      </w:pPr>
      <w:r>
        <w:rPr>
          <w:rStyle w:val="CharStyle19"/>
        </w:rPr>
        <w:t xml:space="preserve">Москва, 121151 </w:t>
      </w:r>
      <w:r>
        <w:fldChar w:fldCharType="begin"/>
      </w:r>
      <w:r>
        <w:rPr/>
        <w:instrText> HYPERLINK "mailto:ko@rts-tender.ru" </w:instrText>
      </w:r>
      <w:r>
        <w:fldChar w:fldCharType="separate"/>
      </w:r>
      <w:r>
        <w:rPr>
          <w:rStyle w:val="CharStyle19"/>
          <w:lang w:val="en-US" w:eastAsia="en-US"/>
        </w:rPr>
        <w:t>ko@rts-tender.ru</w:t>
      </w:r>
      <w:r>
        <w:fldChar w:fldCharType="end"/>
      </w:r>
    </w:p>
    <w:p>
      <w:pPr>
        <w:pStyle w:val="Style18"/>
        <w:keepNext w:val="0"/>
        <w:keepLines w:val="0"/>
        <w:widowControl w:val="0"/>
        <w:shd w:val="clear" w:color="auto" w:fill="auto"/>
        <w:bidi w:val="0"/>
        <w:spacing w:before="0" w:after="0" w:line="240" w:lineRule="auto"/>
        <w:ind w:left="0" w:right="0" w:firstLine="0"/>
        <w:jc w:val="left"/>
      </w:pPr>
      <w:r>
        <w:rPr>
          <w:rStyle w:val="CharStyle19"/>
        </w:rPr>
        <w:t>ОБЩЕСТВО С ОГРАНИЧЕННОЙ ОТВЕТСТВЕННОСТЬЮ "РТ-</w:t>
      </w:r>
    </w:p>
    <w:p>
      <w:pPr>
        <w:pStyle w:val="Style18"/>
        <w:keepNext w:val="0"/>
        <w:keepLines w:val="0"/>
        <w:widowControl w:val="0"/>
        <w:shd w:val="clear" w:color="auto" w:fill="auto"/>
        <w:bidi w:val="0"/>
        <w:spacing w:before="0" w:after="0" w:line="240" w:lineRule="auto"/>
        <w:ind w:left="0" w:right="0" w:firstLine="0"/>
        <w:jc w:val="left"/>
      </w:pPr>
      <w:r>
        <w:rPr>
          <w:rStyle w:val="CharStyle19"/>
        </w:rPr>
        <w:t>МЕДКОМПЛЕКТ"</w:t>
      </w:r>
    </w:p>
    <w:p>
      <w:pPr>
        <w:pStyle w:val="Style18"/>
        <w:keepNext w:val="0"/>
        <w:keepLines w:val="0"/>
        <w:widowControl w:val="0"/>
        <w:shd w:val="clear" w:color="auto" w:fill="auto"/>
        <w:bidi w:val="0"/>
        <w:spacing w:before="0" w:after="0" w:line="240" w:lineRule="auto"/>
        <w:ind w:left="0" w:right="0" w:firstLine="0"/>
        <w:jc w:val="left"/>
      </w:pPr>
      <w:r>
        <w:rPr>
          <w:rStyle w:val="CharStyle19"/>
        </w:rPr>
        <w:t>124498, РЕГИОН Г.МОСКВА, РАЙОН МУНИЦИПАЛЬНЫЙ ОКРУГ СТАРОЕ КРЮКОВО, Г ЗЕЛЕНОГРАД, ПРОЕЗД 4922-Й, 4</w:t>
      </w:r>
    </w:p>
    <w:p>
      <w:pPr>
        <w:pStyle w:val="Style18"/>
        <w:keepNext w:val="0"/>
        <w:keepLines w:val="0"/>
        <w:widowControl w:val="0"/>
        <w:shd w:val="clear" w:color="auto" w:fill="auto"/>
        <w:bidi w:val="0"/>
        <w:spacing w:before="0" w:after="0" w:line="240" w:lineRule="auto"/>
        <w:ind w:left="0" w:right="0" w:firstLine="0"/>
        <w:jc w:val="left"/>
        <w:sectPr>
          <w:footerReference w:type="default" r:id="rId5"/>
          <w:footerReference w:type="even" r:id="rId6"/>
          <w:footerReference w:type="first" r:id="rId7"/>
          <w:footnotePr>
            <w:pos w:val="pageBottom"/>
            <w:numFmt w:val="decimal"/>
            <w:numRestart w:val="continuous"/>
          </w:footnotePr>
          <w:pgSz w:w="11900" w:h="16840"/>
          <w:pgMar w:top="58" w:right="675" w:bottom="1312" w:left="1135" w:header="0" w:footer="3" w:gutter="0"/>
          <w:pgNumType w:start="1"/>
          <w:cols w:num="2" w:space="720" w:equalWidth="0">
            <w:col w:w="4262" w:space="1008"/>
            <w:col w:w="4819"/>
          </w:cols>
          <w:noEndnote/>
          <w:titlePg/>
          <w:rtlGutter w:val="0"/>
          <w:docGrid w:linePitch="360"/>
        </w:sectPr>
      </w:pPr>
      <w:r>
        <w:fldChar w:fldCharType="begin"/>
      </w:r>
      <w:r>
        <w:rPr/>
        <w:instrText> HYPERLINK "mailto:info@rtmk.ru" </w:instrText>
      </w:r>
      <w:r>
        <w:fldChar w:fldCharType="separate"/>
      </w:r>
      <w:r>
        <w:rPr>
          <w:rStyle w:val="CharStyle19"/>
          <w:lang w:val="en-US" w:eastAsia="en-US"/>
        </w:rPr>
        <w:t>info@rtmk.ru</w:t>
      </w:r>
      <w:r>
        <w:fldChar w:fldCharType="end"/>
      </w:r>
    </w:p>
    <w:p>
      <w:pPr>
        <w:widowControl w:val="0"/>
        <w:spacing w:line="122" w:lineRule="exact"/>
        <w:rPr>
          <w:sz w:val="10"/>
          <w:szCs w:val="10"/>
        </w:rPr>
      </w:pPr>
    </w:p>
    <w:p>
      <w:pPr>
        <w:widowControl w:val="0"/>
        <w:spacing w:line="1" w:lineRule="exact"/>
        <w:sectPr>
          <w:footnotePr>
            <w:pos w:val="pageBottom"/>
            <w:numFmt w:val="decimal"/>
            <w:numRestart w:val="continuous"/>
          </w:footnotePr>
          <w:type w:val="continuous"/>
          <w:pgSz w:w="11900" w:h="16840"/>
          <w:pgMar w:top="311" w:right="0" w:bottom="1260" w:left="0" w:header="0" w:footer="3" w:gutter="0"/>
          <w:cols w:space="720"/>
          <w:noEndnote/>
          <w:rtlGutter w:val="0"/>
          <w:docGrid w:linePitch="360"/>
        </w:sectPr>
      </w:pPr>
    </w:p>
    <w:p>
      <w:pPr>
        <w:pStyle w:val="Style18"/>
        <w:keepNext w:val="0"/>
        <w:keepLines w:val="0"/>
        <w:widowControl w:val="0"/>
        <w:shd w:val="clear" w:color="auto" w:fill="auto"/>
        <w:bidi w:val="0"/>
        <w:spacing w:before="0" w:after="0" w:line="240" w:lineRule="auto"/>
        <w:ind w:left="5320" w:right="0" w:firstLine="0"/>
        <w:jc w:val="left"/>
      </w:pPr>
      <w:r>
        <w:rPr>
          <w:rStyle w:val="CharStyle19"/>
        </w:rPr>
        <w:t>Министерство конкурентной политики</w:t>
      </w:r>
    </w:p>
    <w:p>
      <w:pPr>
        <w:pStyle w:val="Style18"/>
        <w:keepNext w:val="0"/>
        <w:keepLines w:val="0"/>
        <w:widowControl w:val="0"/>
        <w:shd w:val="clear" w:color="auto" w:fill="auto"/>
        <w:bidi w:val="0"/>
        <w:spacing w:before="0" w:after="0" w:line="240" w:lineRule="auto"/>
        <w:ind w:left="5320" w:right="0" w:firstLine="0"/>
        <w:jc w:val="left"/>
      </w:pPr>
      <w:r>
        <w:rPr>
          <w:rStyle w:val="CharStyle19"/>
        </w:rPr>
        <w:t>Калужской области</w:t>
      </w:r>
    </w:p>
    <w:p>
      <w:pPr>
        <w:pStyle w:val="Style18"/>
        <w:keepNext w:val="0"/>
        <w:keepLines w:val="0"/>
        <w:widowControl w:val="0"/>
        <w:shd w:val="clear" w:color="auto" w:fill="auto"/>
        <w:bidi w:val="0"/>
        <w:spacing w:before="0" w:after="0" w:line="240" w:lineRule="auto"/>
        <w:ind w:left="5320" w:right="0" w:firstLine="0"/>
        <w:jc w:val="left"/>
      </w:pPr>
      <w:r>
        <w:rPr>
          <w:rStyle w:val="CharStyle19"/>
        </w:rPr>
        <w:t>ул. Плеханова, д. 45, г. Калуга, 248001</w:t>
      </w:r>
    </w:p>
    <w:p>
      <w:pPr>
        <w:pStyle w:val="Style18"/>
        <w:keepNext w:val="0"/>
        <w:keepLines w:val="0"/>
        <w:widowControl w:val="0"/>
        <w:shd w:val="clear" w:color="auto" w:fill="auto"/>
        <w:bidi w:val="0"/>
        <w:spacing w:before="0" w:after="0" w:line="240" w:lineRule="auto"/>
        <w:ind w:left="5320" w:right="0" w:firstLine="0"/>
        <w:jc w:val="left"/>
      </w:pPr>
      <w:r>
        <w:rPr>
          <w:rStyle w:val="CharStyle19"/>
          <w:lang w:val="en-US" w:eastAsia="en-US"/>
        </w:rPr>
        <w:t>min-k-</w:t>
      </w:r>
    </w:p>
    <w:p>
      <w:pPr>
        <w:pStyle w:val="Style18"/>
        <w:keepNext w:val="0"/>
        <w:keepLines w:val="0"/>
        <w:widowControl w:val="0"/>
        <w:shd w:val="clear" w:color="auto" w:fill="auto"/>
        <w:bidi w:val="0"/>
        <w:spacing w:before="0" w:after="580" w:line="240" w:lineRule="auto"/>
        <w:ind w:left="5320" w:right="0" w:firstLine="0"/>
        <w:jc w:val="left"/>
      </w:pPr>
      <w:r>
        <w:rPr>
          <w:rStyle w:val="CharStyle19"/>
          <w:lang w:val="en-US" w:eastAsia="en-US"/>
        </w:rPr>
        <w:t xml:space="preserve">politik@adm.kaluga.ru;emelyanov@adm.k </w:t>
      </w:r>
      <w:r>
        <w:rPr>
          <w:rStyle w:val="CharStyle19"/>
          <w:lang w:val="en-US" w:eastAsia="en-US"/>
        </w:rPr>
        <w:t>aluga.ru</w:t>
      </w:r>
    </w:p>
    <w:p>
      <w:pPr>
        <w:pStyle w:val="Style18"/>
        <w:keepNext w:val="0"/>
        <w:keepLines w:val="0"/>
        <w:widowControl w:val="0"/>
        <w:shd w:val="clear" w:color="auto" w:fill="auto"/>
        <w:bidi w:val="0"/>
        <w:spacing w:before="0" w:after="260" w:line="230" w:lineRule="auto"/>
        <w:ind w:left="4500" w:right="0" w:firstLine="0"/>
        <w:jc w:val="left"/>
        <w:rPr>
          <w:sz w:val="26"/>
          <w:szCs w:val="26"/>
        </w:rPr>
      </w:pPr>
      <w:r>
        <w:rPr>
          <w:rStyle w:val="CharStyle19"/>
          <w:b/>
          <w:bCs/>
          <w:sz w:val="26"/>
          <w:szCs w:val="26"/>
        </w:rPr>
        <w:t>Р Е Ш Е Н И Е</w:t>
      </w:r>
    </w:p>
    <w:p>
      <w:pPr>
        <w:pStyle w:val="Style18"/>
        <w:keepNext w:val="0"/>
        <w:keepLines w:val="0"/>
        <w:widowControl w:val="0"/>
        <w:shd w:val="clear" w:color="auto" w:fill="auto"/>
        <w:bidi w:val="0"/>
        <w:spacing w:before="0" w:after="260" w:line="240" w:lineRule="auto"/>
        <w:ind w:left="1080" w:right="0" w:hanging="280"/>
        <w:jc w:val="left"/>
        <w:rPr>
          <w:sz w:val="26"/>
          <w:szCs w:val="26"/>
        </w:rPr>
      </w:pPr>
      <w:r>
        <w:rPr>
          <w:rStyle w:val="CharStyle19"/>
          <w:b/>
          <w:bCs/>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pPr>
        <w:pStyle w:val="Style16"/>
        <w:keepNext w:val="0"/>
        <w:keepLines w:val="0"/>
        <w:widowControl w:val="0"/>
        <w:shd w:val="clear" w:color="auto" w:fill="auto"/>
        <w:tabs>
          <w:tab w:pos="7386" w:val="left"/>
        </w:tabs>
        <w:bidi w:val="0"/>
        <w:spacing w:before="0" w:after="260" w:line="240" w:lineRule="auto"/>
        <w:ind w:left="0" w:right="0" w:firstLine="580"/>
        <w:jc w:val="left"/>
      </w:pPr>
      <w:r>
        <w:rPr>
          <w:rStyle w:val="CharStyle17"/>
        </w:rPr>
        <w:t>г. Калуга</w:t>
        <w:tab/>
        <w:t>«14» мая 2026 года</w:t>
      </w:r>
    </w:p>
    <w:p>
      <w:pPr>
        <w:pStyle w:val="Style16"/>
        <w:keepNext w:val="0"/>
        <w:keepLines w:val="0"/>
        <w:widowControl w:val="0"/>
        <w:shd w:val="clear" w:color="auto" w:fill="auto"/>
        <w:bidi w:val="0"/>
        <w:spacing w:before="0" w:after="0" w:line="240" w:lineRule="auto"/>
        <w:ind w:left="2160" w:right="0" w:firstLine="0"/>
        <w:jc w:val="left"/>
      </w:pPr>
      <w:r>
        <w:rPr>
          <w:rStyle w:val="CharStyle17"/>
        </w:rPr>
        <w:t>Резолютивная часть решения оглашена «08» мая 2026 года.</w:t>
      </w:r>
    </w:p>
    <w:p>
      <w:pPr>
        <w:pStyle w:val="Style16"/>
        <w:keepNext w:val="0"/>
        <w:keepLines w:val="0"/>
        <w:widowControl w:val="0"/>
        <w:shd w:val="clear" w:color="auto" w:fill="auto"/>
        <w:bidi w:val="0"/>
        <w:spacing w:before="0" w:after="260" w:line="240" w:lineRule="auto"/>
        <w:ind w:left="2160" w:right="0" w:firstLine="0"/>
        <w:jc w:val="left"/>
      </w:pPr>
      <w:r>
        <w:rPr>
          <w:rStyle w:val="CharStyle17"/>
        </w:rPr>
        <w:t>В полном объеме решение изготовлено «14» мая 2026 года.</w:t>
      </w:r>
    </w:p>
    <w:p>
      <w:pPr>
        <w:pStyle w:val="Style16"/>
        <w:keepNext w:val="0"/>
        <w:keepLines w:val="0"/>
        <w:widowControl w:val="0"/>
        <w:shd w:val="clear" w:color="auto" w:fill="auto"/>
        <w:bidi w:val="0"/>
        <w:spacing w:before="0" w:after="260" w:line="240" w:lineRule="auto"/>
        <w:ind w:left="0" w:right="0" w:firstLine="580"/>
        <w:jc w:val="left"/>
      </w:pPr>
      <w:r>
        <w:rPr>
          <w:rStyle w:val="CharStyle17"/>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pPr>
        <w:pStyle w:val="Style16"/>
        <w:keepNext w:val="0"/>
        <w:keepLines w:val="0"/>
        <w:widowControl w:val="0"/>
        <w:shd w:val="clear" w:color="auto" w:fill="auto"/>
        <w:bidi w:val="0"/>
        <w:spacing w:before="0" w:after="260" w:line="240" w:lineRule="auto"/>
        <w:ind w:left="2040" w:right="0" w:hanging="2040"/>
        <w:jc w:val="left"/>
      </w:pPr>
      <w:r>
        <w:rPr>
          <w:rStyle w:val="CharStyle17"/>
        </w:rPr>
        <w:t>Чуриков М.А. - председатель комиссии, заместитель руководителя – начальник отдела Калужского УФАС России</w:t>
      </w:r>
    </w:p>
    <w:p>
      <w:pPr>
        <w:widowControl w:val="0"/>
        <w:spacing w:line="1" w:lineRule="exact"/>
      </w:pPr>
      <w:r>
        <w:drawing>
          <wp:anchor distT="101600" distB="0" distL="0" distR="0" simplePos="0" relativeHeight="125829378" behindDoc="0" locked="0" layoutInCell="1" allowOverlap="1">
            <wp:simplePos x="0" y="0"/>
            <wp:positionH relativeFrom="page">
              <wp:posOffset>717550</wp:posOffset>
            </wp:positionH>
            <wp:positionV relativeFrom="paragraph">
              <wp:posOffset>101600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1511935" cy="292735"/>
                    </a:xfrm>
                    <a:prstGeom prst="rect"/>
                  </pic:spPr>
                </pic:pic>
              </a:graphicData>
            </a:graphic>
          </wp:anchor>
        </w:drawing>
      </w:r>
    </w:p>
    <w:p>
      <w:pPr>
        <w:pStyle w:val="Style16"/>
        <w:keepNext w:val="0"/>
        <w:keepLines w:val="0"/>
        <w:widowControl w:val="0"/>
        <w:shd w:val="clear" w:color="auto" w:fill="auto"/>
        <w:tabs>
          <w:tab w:pos="2486" w:val="left"/>
        </w:tabs>
        <w:bidi w:val="0"/>
        <w:spacing w:before="0" w:after="0" w:line="240" w:lineRule="auto"/>
        <w:ind w:left="0" w:right="0" w:firstLine="0"/>
        <w:jc w:val="both"/>
      </w:pPr>
      <w:r>
        <w:rPr>
          <w:rStyle w:val="CharStyle17"/>
        </w:rPr>
        <w:t>Магер А.А.</w:t>
        <w:tab/>
      </w:r>
      <w:r>
        <w:rPr>
          <w:rStyle w:val="CharStyle17"/>
          <w:lang w:val="en-US" w:eastAsia="en-US"/>
        </w:rPr>
        <w:t xml:space="preserve">- </w:t>
      </w:r>
      <w:r>
        <w:rPr>
          <w:rStyle w:val="CharStyle17"/>
        </w:rPr>
        <w:t>член комиссии, заместитель руководителя Калужского УФАС</w:t>
      </w:r>
    </w:p>
    <w:p>
      <w:pPr>
        <w:pStyle w:val="Style16"/>
        <w:keepNext w:val="0"/>
        <w:keepLines w:val="0"/>
        <w:widowControl w:val="0"/>
        <w:shd w:val="clear" w:color="auto" w:fill="auto"/>
        <w:bidi w:val="0"/>
        <w:spacing w:before="0" w:after="0" w:line="240" w:lineRule="auto"/>
        <w:ind w:left="2040" w:right="0" w:firstLine="0"/>
        <w:jc w:val="both"/>
      </w:pPr>
      <w:r>
        <w:rPr>
          <w:rStyle w:val="CharStyle17"/>
        </w:rPr>
        <w:t>России;</w:t>
      </w:r>
    </w:p>
    <w:p>
      <w:pPr>
        <w:pStyle w:val="Style16"/>
        <w:keepNext w:val="0"/>
        <w:keepLines w:val="0"/>
        <w:widowControl w:val="0"/>
        <w:shd w:val="clear" w:color="auto" w:fill="auto"/>
        <w:bidi w:val="0"/>
        <w:spacing w:before="0" w:after="0" w:line="240" w:lineRule="auto"/>
        <w:ind w:left="2040" w:right="0" w:hanging="2040"/>
        <w:jc w:val="both"/>
      </w:pPr>
      <w:r>
        <w:rPr>
          <w:rStyle w:val="CharStyle17"/>
        </w:rPr>
        <w:t xml:space="preserve">Васильев А.А. </w:t>
      </w:r>
      <w:r>
        <w:rPr>
          <w:rStyle w:val="CharStyle17"/>
          <w:lang w:val="en-US" w:eastAsia="en-US"/>
        </w:rPr>
        <w:t xml:space="preserve">- </w:t>
      </w:r>
      <w:r>
        <w:rPr>
          <w:rStyle w:val="CharStyle17"/>
        </w:rPr>
        <w:t>член комиссии, заместитель начальника отдела Калужского УФАС России,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при участии посредством видеоконференцсвязи до объявленного перерыва: представителя заказчика </w:t>
      </w:r>
      <w:r>
        <w:rPr>
          <w:rStyle w:val="CharStyle17"/>
          <w:lang w:val="en-US" w:eastAsia="en-US"/>
        </w:rPr>
        <w:t xml:space="preserve">– </w:t>
      </w:r>
      <w:r>
        <w:rPr>
          <w:rStyle w:val="CharStyle17"/>
        </w:rPr>
        <w:t xml:space="preserve">ГБУЗ КО «Калужская областная клиническая больница» Мосесяна А.М. (доверенность, паспорт), представителя уполномоченного органа </w:t>
      </w:r>
      <w:r>
        <w:rPr>
          <w:rStyle w:val="CharStyle17"/>
          <w:lang w:val="en-US" w:eastAsia="en-US"/>
        </w:rPr>
        <w:t xml:space="preserve">– </w:t>
      </w:r>
      <w:r>
        <w:rPr>
          <w:rStyle w:val="CharStyle17"/>
        </w:rPr>
        <w:t xml:space="preserve">министерства конкурентной политика Калужской области Бойкова А.А. (доверенность, паспорт) представителя заявителя </w:t>
      </w:r>
      <w:r>
        <w:rPr>
          <w:rStyle w:val="CharStyle17"/>
          <w:lang w:val="en-US" w:eastAsia="en-US"/>
        </w:rPr>
        <w:t xml:space="preserve">- </w:t>
      </w:r>
      <w:r>
        <w:rPr>
          <w:rStyle w:val="CharStyle17"/>
        </w:rPr>
        <w:t>ООО «РТ-Медкомплект» Юрченко М.О. (доверенность, паспорт),</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при участии посредством видеоконференцсвязи после объявленного перерыва: представителя заказчика </w:t>
      </w:r>
      <w:r>
        <w:rPr>
          <w:rStyle w:val="CharStyle17"/>
          <w:lang w:val="en-US" w:eastAsia="en-US"/>
        </w:rPr>
        <w:t xml:space="preserve">– </w:t>
      </w:r>
      <w:r>
        <w:rPr>
          <w:rStyle w:val="CharStyle17"/>
        </w:rPr>
        <w:t xml:space="preserve">ГБУЗ КО «Калужская областная клиническая больница» Мосесяна А.М. (доверенность, паспорт), представителя уполномоченного органа </w:t>
      </w:r>
      <w:r>
        <w:rPr>
          <w:rStyle w:val="CharStyle17"/>
          <w:lang w:val="en-US" w:eastAsia="en-US"/>
        </w:rPr>
        <w:t xml:space="preserve">– </w:t>
      </w:r>
      <w:r>
        <w:rPr>
          <w:rStyle w:val="CharStyle17"/>
        </w:rPr>
        <w:t xml:space="preserve">министерства конкурентной политика Калужской области Бойкова А.А. (доверенность, паспорт) представителя заявителя </w:t>
      </w:r>
      <w:r>
        <w:rPr>
          <w:rStyle w:val="CharStyle17"/>
          <w:lang w:val="en-US" w:eastAsia="en-US"/>
        </w:rPr>
        <w:t xml:space="preserve">- </w:t>
      </w:r>
      <w:r>
        <w:rPr>
          <w:rStyle w:val="CharStyle17"/>
        </w:rPr>
        <w:t>ООО «РТ-Медкомплект» Юрченко М.О. (доверенность, паспорт),</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рассмотрев посредством видеоконференцсвязи жалобу </w:t>
      </w:r>
      <w:r>
        <w:rPr>
          <w:rStyle w:val="CharStyle17"/>
          <w:lang w:val="en-US" w:eastAsia="en-US"/>
        </w:rPr>
        <w:t xml:space="preserve">№040/06/105-525/2026 </w:t>
      </w:r>
      <w:r>
        <w:rPr>
          <w:rStyle w:val="CharStyle17"/>
        </w:rPr>
        <w:t xml:space="preserve">ООО «РТ- Медкомплект» по существу, </w:t>
      </w:r>
      <w:r>
        <w:rPr>
          <w:rStyle w:val="CharStyle17"/>
          <w:b/>
          <w:bCs/>
        </w:rPr>
        <w:t>установила</w:t>
      </w:r>
      <w:r>
        <w:rPr>
          <w:rStyle w:val="CharStyle17"/>
        </w:rPr>
        <w:t>:</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30.04.2026г. в адрес Калужского УФАС России поступила жалоба ООО «РТ- Медкомплект» на положения извещения об осуществлении закупки при проведении электронного аукциона (номер извещения на официальном сайте </w:t>
      </w:r>
      <w:r>
        <w:rPr>
          <w:rStyle w:val="CharStyle17"/>
          <w:lang w:val="en-US" w:eastAsia="en-US"/>
        </w:rPr>
        <w:t xml:space="preserve">0137200001226003543) </w:t>
      </w:r>
      <w:r>
        <w:rPr>
          <w:rStyle w:val="CharStyle17"/>
        </w:rPr>
        <w:t xml:space="preserve">предметом которого является поставка медицинского изделия-системы рентгеновской компьютерной томографии всего тела (далее </w:t>
      </w:r>
      <w:r>
        <w:rPr>
          <w:rStyle w:val="CharStyle17"/>
          <w:lang w:val="en-US" w:eastAsia="en-US"/>
        </w:rPr>
        <w:t xml:space="preserve">– </w:t>
      </w:r>
      <w:r>
        <w:rPr>
          <w:rStyle w:val="CharStyle17"/>
        </w:rPr>
        <w:t>Аукцион).</w:t>
      </w:r>
    </w:p>
    <w:p>
      <w:pPr>
        <w:pStyle w:val="Style16"/>
        <w:keepNext w:val="0"/>
        <w:keepLines w:val="0"/>
        <w:widowControl w:val="0"/>
        <w:shd w:val="clear" w:color="auto" w:fill="auto"/>
        <w:bidi w:val="0"/>
        <w:spacing w:before="0" w:after="0" w:line="240" w:lineRule="auto"/>
        <w:ind w:left="0" w:right="0" w:firstLine="580"/>
        <w:jc w:val="both"/>
      </w:pPr>
      <w:r>
        <w:rPr>
          <w:rStyle w:val="CharStyle17"/>
        </w:rPr>
        <w:t>Заявитель полагает, что извещение об осуществлении закупки, не соответствует требованиям Закона о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Заказчиком, уполномоченным органом представлены пояснения по существу доводов жалобы Заявителя, в которых указанно, что доводы названной жалобы являются необоснованными, а действия Заказчика основаны на положениях Закона о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Изучив представленные документы, с учетом доводов сторон, руководствуясь Федеральным законом от </w:t>
      </w:r>
      <w:r>
        <w:rPr>
          <w:rStyle w:val="CharStyle17"/>
          <w:lang w:val="en-US" w:eastAsia="en-US"/>
        </w:rPr>
        <w:t xml:space="preserve">05.04.2013 </w:t>
      </w:r>
      <w:r>
        <w:rPr>
          <w:rStyle w:val="CharStyle17"/>
        </w:rPr>
        <w:t xml:space="preserve">№44-ФЗ, проведя внеплановую проверку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Закона о контрактной системе, Комиссия Калужского УФАС России приходит к следующему.</w:t>
      </w:r>
    </w:p>
    <w:p>
      <w:pPr>
        <w:pStyle w:val="Style16"/>
        <w:keepNext w:val="0"/>
        <w:keepLines w:val="0"/>
        <w:widowControl w:val="0"/>
        <w:numPr>
          <w:ilvl w:val="0"/>
          <w:numId w:val="1"/>
        </w:numPr>
        <w:shd w:val="clear" w:color="auto" w:fill="auto"/>
        <w:tabs>
          <w:tab w:pos="924" w:val="left"/>
        </w:tabs>
        <w:bidi w:val="0"/>
        <w:spacing w:before="0" w:after="0" w:line="240" w:lineRule="auto"/>
        <w:ind w:left="0" w:right="0" w:firstLine="580"/>
        <w:jc w:val="both"/>
      </w:pPr>
      <w:r>
        <w:rPr>
          <w:rStyle w:val="CharStyle17"/>
        </w:rPr>
        <w:t xml:space="preserve">27.04.2026г. на официальном сайте Единой информационной системы в сфере закупок </w:t>
      </w:r>
      <w:r>
        <w:rPr>
          <w:rStyle w:val="CharStyle17"/>
          <w:lang w:val="en-US" w:eastAsia="en-US"/>
        </w:rPr>
        <w:t>(</w:t>
      </w:r>
      <w:r>
        <w:fldChar w:fldCharType="begin"/>
      </w:r>
      <w:r>
        <w:rPr/>
        <w:instrText> HYPERLINK "http://www.zakupki.gov.ru" </w:instrText>
      </w:r>
      <w:r>
        <w:fldChar w:fldCharType="separate"/>
      </w:r>
      <w:r>
        <w:rPr>
          <w:rStyle w:val="CharStyle17"/>
          <w:lang w:val="en-US" w:eastAsia="en-US"/>
        </w:rPr>
        <w:t>www.zakupki.gov.ru</w:t>
      </w:r>
      <w:r>
        <w:fldChar w:fldCharType="end"/>
      </w:r>
      <w:r>
        <w:rPr>
          <w:rStyle w:val="CharStyle17"/>
          <w:lang w:val="en-US" w:eastAsia="en-US"/>
        </w:rPr>
        <w:t xml:space="preserve">; </w:t>
      </w:r>
      <w:r>
        <w:rPr>
          <w:rStyle w:val="CharStyle17"/>
        </w:rPr>
        <w:t xml:space="preserve">далее также официальный сайт, ЕИС) опубликовано извещение </w:t>
      </w:r>
      <w:r>
        <w:rPr>
          <w:rStyle w:val="CharStyle17"/>
          <w:lang w:val="en-US" w:eastAsia="en-US"/>
        </w:rPr>
        <w:t xml:space="preserve">№0137200001226003543, </w:t>
      </w:r>
      <w:r>
        <w:rPr>
          <w:rStyle w:val="CharStyle17"/>
        </w:rPr>
        <w:t>предметом которого является поставка медицинского изделия- системы рентгеновской компьютерной томографии всего тела.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Начальная (максимальная) цена контракта, согласно извещению о проведении аукциона составляет </w:t>
      </w:r>
      <w:r>
        <w:rPr>
          <w:rStyle w:val="CharStyle17"/>
          <w:lang w:val="en-US" w:eastAsia="en-US"/>
        </w:rPr>
        <w:t xml:space="preserve">68 263 565,00 </w:t>
      </w:r>
      <w:r>
        <w:rPr>
          <w:rStyle w:val="CharStyle17"/>
        </w:rPr>
        <w:t>рублей.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Дата и время окончания срока подачи заявок на участие в электронном аукционе: </w:t>
      </w:r>
      <w:r>
        <w:rPr>
          <w:rStyle w:val="CharStyle17"/>
          <w:lang w:val="en-US" w:eastAsia="en-US"/>
        </w:rPr>
        <w:t xml:space="preserve">05.05.2026 08:00 </w:t>
      </w:r>
      <w:r>
        <w:rPr>
          <w:rStyle w:val="CharStyle17"/>
        </w:rPr>
        <w:t>(МСК).</w:t>
      </w:r>
    </w:p>
    <w:p>
      <w:pPr>
        <w:pStyle w:val="Style16"/>
        <w:keepNext w:val="0"/>
        <w:keepLines w:val="0"/>
        <w:widowControl w:val="0"/>
        <w:shd w:val="clear" w:color="auto" w:fill="auto"/>
        <w:bidi w:val="0"/>
        <w:spacing w:before="0" w:after="0" w:line="240" w:lineRule="auto"/>
        <w:ind w:left="0" w:right="0" w:firstLine="580"/>
        <w:jc w:val="both"/>
      </w:pPr>
      <w:r>
        <w:rPr>
          <w:rStyle w:val="CharStyle17"/>
        </w:rPr>
        <w:t>Заказчиком по указанному аукциону выступало ГБУЗ КО «Калужская областная клиническая больница».</w:t>
      </w:r>
    </w:p>
    <w:p>
      <w:pPr>
        <w:pStyle w:val="Style16"/>
        <w:keepNext w:val="0"/>
        <w:keepLines w:val="0"/>
        <w:widowControl w:val="0"/>
        <w:numPr>
          <w:ilvl w:val="0"/>
          <w:numId w:val="1"/>
        </w:numPr>
        <w:shd w:val="clear" w:color="auto" w:fill="auto"/>
        <w:tabs>
          <w:tab w:pos="924" w:val="left"/>
        </w:tabs>
        <w:bidi w:val="0"/>
        <w:spacing w:before="0" w:after="0" w:line="240" w:lineRule="auto"/>
        <w:ind w:left="0" w:right="0" w:firstLine="580"/>
        <w:jc w:val="both"/>
      </w:pPr>
      <w:r>
        <w:rPr>
          <w:rStyle w:val="CharStyle17"/>
        </w:rPr>
        <w:t xml:space="preserve">В соответствии с пунктами </w:t>
      </w:r>
      <w:r>
        <w:rPr>
          <w:rStyle w:val="CharStyle17"/>
          <w:lang w:val="en-US" w:eastAsia="en-US"/>
        </w:rPr>
        <w:t xml:space="preserve">1,3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w:t>
      </w:r>
      <w:r>
        <w:rPr>
          <w:rStyle w:val="CharStyle17"/>
          <w:lang w:val="en-US" w:eastAsia="en-US"/>
        </w:rPr>
        <w:t xml:space="preserve">33 </w:t>
      </w:r>
      <w:r>
        <w:rPr>
          <w:rStyle w:val="CharStyle17"/>
        </w:rPr>
        <w:t>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пункту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установлено, что</w:t>
      </w:r>
    </w:p>
    <w:p>
      <w:pPr>
        <w:pStyle w:val="Style16"/>
        <w:keepNext w:val="0"/>
        <w:keepLines w:val="0"/>
        <w:widowControl w:val="0"/>
        <w:shd w:val="clear" w:color="auto" w:fill="auto"/>
        <w:bidi w:val="0"/>
        <w:spacing w:before="0" w:after="0" w:line="240" w:lineRule="auto"/>
        <w:ind w:left="0" w:right="0" w:firstLine="0"/>
        <w:jc w:val="both"/>
      </w:pPr>
      <w:r>
        <w:rPr>
          <w:rStyle w:val="CharStyle17"/>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6"/>
        <w:keepNext w:val="0"/>
        <w:keepLines w:val="0"/>
        <w:widowControl w:val="0"/>
        <w:numPr>
          <w:ilvl w:val="0"/>
          <w:numId w:val="3"/>
        </w:numPr>
        <w:shd w:val="clear" w:color="auto" w:fill="auto"/>
        <w:tabs>
          <w:tab w:pos="883" w:val="left"/>
        </w:tabs>
        <w:bidi w:val="0"/>
        <w:spacing w:before="0" w:after="0" w:line="240" w:lineRule="auto"/>
        <w:ind w:left="0" w:right="0" w:firstLine="580"/>
        <w:jc w:val="both"/>
      </w:pPr>
      <w:r>
        <w:rPr>
          <w:rStyle w:val="CharStyle17"/>
        </w:rPr>
        <w:t>сопровождение такого указания словами «или эквивалент»;</w:t>
      </w:r>
    </w:p>
    <w:p>
      <w:pPr>
        <w:pStyle w:val="Style16"/>
        <w:keepNext w:val="0"/>
        <w:keepLines w:val="0"/>
        <w:widowControl w:val="0"/>
        <w:numPr>
          <w:ilvl w:val="0"/>
          <w:numId w:val="3"/>
        </w:numPr>
        <w:shd w:val="clear" w:color="auto" w:fill="auto"/>
        <w:tabs>
          <w:tab w:pos="936" w:val="left"/>
        </w:tabs>
        <w:bidi w:val="0"/>
        <w:spacing w:before="0" w:after="0" w:line="240" w:lineRule="auto"/>
        <w:ind w:left="0" w:right="0" w:firstLine="580"/>
        <w:jc w:val="both"/>
      </w:pPr>
      <w:r>
        <w:rPr>
          <w:rStyle w:val="CharStyle1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6"/>
        <w:keepNext w:val="0"/>
        <w:keepLines w:val="0"/>
        <w:widowControl w:val="0"/>
        <w:numPr>
          <w:ilvl w:val="0"/>
          <w:numId w:val="3"/>
        </w:numPr>
        <w:shd w:val="clear" w:color="auto" w:fill="auto"/>
        <w:tabs>
          <w:tab w:pos="936" w:val="left"/>
        </w:tabs>
        <w:bidi w:val="0"/>
        <w:spacing w:before="0" w:after="0" w:line="240" w:lineRule="auto"/>
        <w:ind w:left="0" w:right="0" w:firstLine="580"/>
        <w:jc w:val="both"/>
      </w:pPr>
      <w:r>
        <w:rPr>
          <w:rStyle w:val="CharStyle1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keepNext w:val="0"/>
        <w:keepLines w:val="0"/>
        <w:widowControl w:val="0"/>
        <w:numPr>
          <w:ilvl w:val="0"/>
          <w:numId w:val="3"/>
        </w:numPr>
        <w:shd w:val="clear" w:color="auto" w:fill="auto"/>
        <w:tabs>
          <w:tab w:pos="936" w:val="left"/>
        </w:tabs>
        <w:bidi w:val="0"/>
        <w:spacing w:before="0" w:after="0" w:line="240" w:lineRule="auto"/>
        <w:ind w:left="0" w:right="0" w:firstLine="580"/>
        <w:jc w:val="both"/>
      </w:pPr>
      <w:r>
        <w:rPr>
          <w:rStyle w:val="CharStyle1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пунктом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о контрактной системе установлено, что документация о закупке в соответствии с требованиями, указанными в части </w:t>
      </w:r>
      <w:r>
        <w:rPr>
          <w:rStyle w:val="CharStyle17"/>
          <w:lang w:val="en-US" w:eastAsia="en-US"/>
        </w:rPr>
        <w:t xml:space="preserve">1 </w:t>
      </w:r>
      <w:r>
        <w:rPr>
          <w:rStyle w:val="CharStyle17"/>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части </w:t>
      </w:r>
      <w:r>
        <w:rPr>
          <w:rStyle w:val="CharStyle17"/>
          <w:lang w:val="en-US" w:eastAsia="en-US"/>
        </w:rPr>
        <w:t xml:space="preserve">3 </w:t>
      </w:r>
      <w:r>
        <w:rPr>
          <w:rStyle w:val="CharStyle17"/>
        </w:rPr>
        <w:t xml:space="preserve">статьи </w:t>
      </w:r>
      <w:r>
        <w:rPr>
          <w:rStyle w:val="CharStyle17"/>
          <w:lang w:val="en-US" w:eastAsia="en-US"/>
        </w:rPr>
        <w:t xml:space="preserve">33 </w:t>
      </w:r>
      <w:r>
        <w:rPr>
          <w:rStyle w:val="CharStyle17"/>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w:t>
      </w:r>
    </w:p>
    <w:p>
      <w:pPr>
        <w:pStyle w:val="Style16"/>
        <w:keepNext w:val="0"/>
        <w:keepLines w:val="0"/>
        <w:widowControl w:val="0"/>
        <w:shd w:val="clear" w:color="auto" w:fill="auto"/>
        <w:bidi w:val="0"/>
        <w:spacing w:before="0" w:after="0" w:line="240" w:lineRule="auto"/>
        <w:ind w:left="0" w:right="0" w:firstLine="0"/>
        <w:jc w:val="both"/>
      </w:pPr>
      <w:r>
        <w:rPr>
          <w:rStyle w:val="CharStyle17"/>
        </w:rPr>
        <w:t>(потребительским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6"/>
        <w:keepNext w:val="0"/>
        <w:keepLines w:val="0"/>
        <w:widowControl w:val="0"/>
        <w:numPr>
          <w:ilvl w:val="0"/>
          <w:numId w:val="5"/>
        </w:numPr>
        <w:shd w:val="clear" w:color="auto" w:fill="auto"/>
        <w:tabs>
          <w:tab w:pos="898" w:val="left"/>
        </w:tabs>
        <w:bidi w:val="0"/>
        <w:spacing w:before="0" w:after="0" w:line="240" w:lineRule="auto"/>
        <w:ind w:left="0" w:right="0" w:firstLine="580"/>
        <w:jc w:val="both"/>
      </w:pPr>
      <w:r>
        <w:rPr>
          <w:rStyle w:val="CharStyle17"/>
        </w:rPr>
        <w:t xml:space="preserve">Согласно доводам жалобы Заявителя, Заказчик применил ненадлежащий код КТРУ </w:t>
      </w:r>
      <w:r>
        <w:rPr>
          <w:rStyle w:val="CharStyle17"/>
          <w:lang w:val="en-US" w:eastAsia="en-US"/>
        </w:rPr>
        <w:t xml:space="preserve">26.60.11.119-00000023, </w:t>
      </w:r>
      <w:r>
        <w:rPr>
          <w:rStyle w:val="CharStyle17"/>
        </w:rPr>
        <w:t xml:space="preserve">вместо кода </w:t>
      </w:r>
      <w:r>
        <w:rPr>
          <w:rStyle w:val="CharStyle17"/>
          <w:lang w:val="en-US" w:eastAsia="en-US"/>
        </w:rPr>
        <w:t>26.60.11.119-00000026.</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Вместе с тем, в ходе рассмотрения жалобы по существу, Комиссия Калужского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При описании объекта закупки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Согласно письменным пояснениям Заказчика, применение кода КТРУ </w:t>
      </w:r>
      <w:r>
        <w:rPr>
          <w:rStyle w:val="CharStyle17"/>
          <w:lang w:val="en-US" w:eastAsia="en-US"/>
        </w:rPr>
        <w:t>26.60.11.119</w:t>
        <w:softHyphen/>
        <w:t xml:space="preserve">00000023 </w:t>
      </w:r>
      <w:r>
        <w:rPr>
          <w:rStyle w:val="CharStyle17"/>
        </w:rPr>
        <w:t>обусловлено тем, что характеристики указанной позиции в полной мере соответствуют профилю деятельности Заказчика как многопрофильной клинической больницы, осуществляющей первичную и специализированную медицинскую помощь, в том числе по кардиологическому, неврологическому и нейрохирургическому профилям, что требует более высокого уровня диагностических возможностей по сравнению с учреждениями, оказывающими исключительно первичную медицинскую помощь.</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Заказчик применил код КТРУ </w:t>
      </w:r>
      <w:r>
        <w:rPr>
          <w:rStyle w:val="CharStyle17"/>
          <w:lang w:val="en-US" w:eastAsia="en-US"/>
        </w:rPr>
        <w:t xml:space="preserve">26.60.11.119-00000023, </w:t>
      </w:r>
      <w:r>
        <w:rPr>
          <w:rStyle w:val="CharStyle17"/>
        </w:rPr>
        <w:t>сформировал технические требования исходя из обоснованных потребностей учреждения, подтверждённых клинической необходимостью, действующими порядками оказания медицинской помощи и стандартами, утверждёнными Министерством здравоохранения Российской Федерации.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На основании вышеизложенного, Комиссия Калужского УФАС России приходит к выводу о необоснованности доводов жалобы Заявителя.</w:t>
      </w:r>
    </w:p>
    <w:p>
      <w:pPr>
        <w:pStyle w:val="Style16"/>
        <w:keepNext w:val="0"/>
        <w:keepLines w:val="0"/>
        <w:widowControl w:val="0"/>
        <w:numPr>
          <w:ilvl w:val="0"/>
          <w:numId w:val="5"/>
        </w:numPr>
        <w:shd w:val="clear" w:color="auto" w:fill="auto"/>
        <w:tabs>
          <w:tab w:pos="898" w:val="left"/>
        </w:tabs>
        <w:bidi w:val="0"/>
        <w:spacing w:before="0" w:after="0" w:line="240" w:lineRule="auto"/>
        <w:ind w:left="0" w:right="0" w:firstLine="580"/>
        <w:jc w:val="both"/>
      </w:pPr>
      <w:r>
        <w:rPr>
          <w:rStyle w:val="CharStyle17"/>
        </w:rPr>
        <w:t xml:space="preserve">Согласно доводам жалобы Заявителя, Заказчиком установлены избыточные требования, в части требований к количеству физических элементов детекторного массива </w:t>
      </w:r>
      <w:r>
        <w:rPr>
          <w:rStyle w:val="CharStyle17"/>
          <w:lang w:val="en-US" w:eastAsia="en-US"/>
        </w:rPr>
        <w:t xml:space="preserve">(&gt; 53 000 </w:t>
      </w:r>
      <w:r>
        <w:rPr>
          <w:rStyle w:val="CharStyle17"/>
        </w:rPr>
        <w:t xml:space="preserve">шт.); программному обеспечению для анализа паренхимы головного мозга и автоматической оценки по шкале </w:t>
      </w:r>
      <w:r>
        <w:rPr>
          <w:rStyle w:val="CharStyle17"/>
          <w:lang w:val="en-US" w:eastAsia="en-US"/>
        </w:rPr>
        <w:t xml:space="preserve">ASPECTS; </w:t>
      </w:r>
      <w:r>
        <w:rPr>
          <w:rStyle w:val="CharStyle17"/>
        </w:rPr>
        <w:t>программному обеспечению для анализа плотности атеросклеротических бляшек артерий; проспективному режиму сканирования с ЭКГ-синхронизацией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Вместе с тем, в ходе рассмотрения жалобы по существу, Комиссия Калужского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311" w:right="628" w:bottom="1260" w:left="1072" w:header="0" w:footer="3" w:gutter="0"/>
          <w:cols w:space="720"/>
          <w:noEndnote/>
          <w:rtlGutter w:val="0"/>
          <w:docGrid w:linePitch="360"/>
        </w:sectPr>
      </w:pPr>
      <w:r>
        <w:rPr>
          <w:rStyle w:val="CharStyle17"/>
        </w:rPr>
        <w:t xml:space="preserve">Согласно письменным пояснениям Заказчика, количество физических элементов детекторного массива является объективной технической характеристикой, непосредственно определяющей пространственное разрешение КТ-системы, детализацию изображения при мультиорганных протоколах, а также долгосрочную технологическую актуальность оборудования. Установление порогового значения на уровне </w:t>
      </w:r>
      <w:r>
        <w:rPr>
          <w:rStyle w:val="CharStyle17"/>
          <w:lang w:val="en-US" w:eastAsia="en-US"/>
        </w:rPr>
        <w:t xml:space="preserve">&gt; 53 000 </w:t>
      </w:r>
      <w:r>
        <w:rPr>
          <w:rStyle w:val="CharStyle17"/>
        </w:rPr>
        <w:t>шт. обусловлено необходимостью обеспечения высокого диагностического качества при проведении нейрохирургических, кардиологических и комплексных КТ- исследований, реализуемых в Учреждении.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Острый ишемический инсульт включён в Перечень социально значимых заболевании (Постановление Правительства РФ от </w:t>
      </w:r>
      <w:r>
        <w:rPr>
          <w:rStyle w:val="CharStyle17"/>
          <w:lang w:val="en-US" w:eastAsia="en-US"/>
        </w:rPr>
        <w:t xml:space="preserve">01.12.2004 № 715). </w:t>
      </w:r>
      <w:r>
        <w:rPr>
          <w:rStyle w:val="CharStyle17"/>
        </w:rPr>
        <w:t xml:space="preserve">Порядок оказания медицинской помощи больным с острыми нарушениями мозгового кровообращения, утверждённый Приказом Минздрава России от </w:t>
      </w:r>
      <w:r>
        <w:rPr>
          <w:rStyle w:val="CharStyle17"/>
          <w:lang w:val="en-US" w:eastAsia="en-US"/>
        </w:rPr>
        <w:t xml:space="preserve">15.11.2012 </w:t>
      </w:r>
      <w:r>
        <w:rPr>
          <w:rStyle w:val="CharStyle17"/>
        </w:rPr>
        <w:t xml:space="preserve">№928н, предусматривает проведение нейровизуализации в максимально короткие сроки от момента поступления пациента. ГБУЗКО «Калужская областная клиническая больница» является в том числе и региональным сосудистым центром, что обусловливает необходимость применения стандартизированных инструментов диагностики в соответствии с указанным порядком. Отсутствие данного модуля создаёт риск нарушения установленных стандартов оказания медицинской несовместимо с принципом эффективности расходования бюджетных средств, закреплённым в статье </w:t>
      </w:r>
      <w:r>
        <w:rPr>
          <w:rStyle w:val="CharStyle17"/>
          <w:lang w:val="en-US" w:eastAsia="en-US"/>
        </w:rPr>
        <w:t xml:space="preserve">34 </w:t>
      </w:r>
      <w:r>
        <w:rPr>
          <w:rStyle w:val="CharStyle17"/>
        </w:rPr>
        <w:t>Бюджетного кодекса Российской Федерации.</w:t>
      </w:r>
    </w:p>
    <w:p>
      <w:pPr>
        <w:pStyle w:val="Style16"/>
        <w:keepNext w:val="0"/>
        <w:keepLines w:val="0"/>
        <w:widowControl w:val="0"/>
        <w:shd w:val="clear" w:color="auto" w:fill="auto"/>
        <w:bidi w:val="0"/>
        <w:spacing w:before="0" w:after="0" w:line="240" w:lineRule="auto"/>
        <w:ind w:left="0" w:right="0" w:firstLine="580"/>
        <w:jc w:val="both"/>
      </w:pPr>
      <w:r>
        <w:rPr>
          <w:rStyle w:val="CharStyle17"/>
          <w:lang w:val="en-US" w:eastAsia="en-US"/>
        </w:rPr>
        <w:t xml:space="preserve">ASPECTS (Alberta Stroke Program Early CT Score) — </w:t>
      </w:r>
      <w:r>
        <w:rPr>
          <w:rStyle w:val="CharStyle17"/>
        </w:rPr>
        <w:t xml:space="preserve">это полуколичественная шкала оценки ранних ишемических изменений на бесконтрастной КТ при остром ишемическом инсульте в бассейне средней мозговой артерии, включающая </w:t>
      </w:r>
      <w:r>
        <w:rPr>
          <w:rStyle w:val="CharStyle17"/>
          <w:lang w:val="en-US" w:eastAsia="en-US"/>
        </w:rPr>
        <w:t xml:space="preserve">10 </w:t>
      </w:r>
      <w:r>
        <w:rPr>
          <w:rStyle w:val="CharStyle17"/>
        </w:rPr>
        <w:t xml:space="preserve">анатомических регионов. Визуальная интерпретация КТ-изображений сопряжена с существенными системными ограничениями: межнаблюдательская вариабельность при ручной оценке составляет к </w:t>
      </w:r>
      <w:r>
        <w:rPr>
          <w:rStyle w:val="CharStyle17"/>
          <w:lang w:val="en-US" w:eastAsia="en-US"/>
        </w:rPr>
        <w:t>= 0,4</w:t>
        <w:softHyphen/>
        <w:t xml:space="preserve">0,6, </w:t>
      </w:r>
      <w:r>
        <w:rPr>
          <w:rStyle w:val="CharStyle17"/>
        </w:rPr>
        <w:t xml:space="preserve">что соответствует лишь умеренному уровню согласованности </w:t>
      </w:r>
      <w:r>
        <w:rPr>
          <w:rStyle w:val="CharStyle17"/>
          <w:lang w:val="en-US" w:eastAsia="en-US"/>
        </w:rPr>
        <w:t xml:space="preserve">(Barber et al., 2000; von Kummer et al., 2017). </w:t>
      </w:r>
      <w:r>
        <w:rPr>
          <w:rStyle w:val="CharStyle17"/>
        </w:rPr>
        <w:t xml:space="preserve">Точность существенно зависит от квалификации специалиста: у врачей- рентгенологов к достигает </w:t>
      </w:r>
      <w:r>
        <w:rPr>
          <w:rStyle w:val="CharStyle17"/>
          <w:lang w:val="en-US" w:eastAsia="en-US"/>
        </w:rPr>
        <w:t xml:space="preserve">0,7, </w:t>
      </w:r>
      <w:r>
        <w:rPr>
          <w:rStyle w:val="CharStyle17"/>
        </w:rPr>
        <w:t xml:space="preserve">тогда как у дежурных врачей общей практики </w:t>
      </w:r>
      <w:r>
        <w:rPr>
          <w:rStyle w:val="CharStyle17"/>
          <w:lang w:val="en-US" w:eastAsia="en-US"/>
        </w:rPr>
        <w:t xml:space="preserve">— </w:t>
      </w:r>
      <w:r>
        <w:rPr>
          <w:rStyle w:val="CharStyle17"/>
        </w:rPr>
        <w:t xml:space="preserve">не превышает </w:t>
      </w:r>
      <w:r>
        <w:rPr>
          <w:rStyle w:val="CharStyle17"/>
          <w:lang w:val="en-US" w:eastAsia="en-US"/>
        </w:rPr>
        <w:t xml:space="preserve">0,4. </w:t>
      </w:r>
      <w:r>
        <w:rPr>
          <w:rStyle w:val="CharStyle17"/>
        </w:rPr>
        <w:t xml:space="preserve">Наибольшую сложность представляют ранние ишемические изменения в первые </w:t>
      </w:r>
      <w:r>
        <w:rPr>
          <w:rStyle w:val="CharStyle17"/>
          <w:lang w:val="en-US" w:eastAsia="en-US"/>
        </w:rPr>
        <w:t xml:space="preserve">6 </w:t>
      </w:r>
      <w:r>
        <w:rPr>
          <w:rStyle w:val="CharStyle17"/>
        </w:rPr>
        <w:t xml:space="preserve">часов, когда снижение плотности паренхимы составляет менее </w:t>
      </w:r>
      <w:r>
        <w:rPr>
          <w:rStyle w:val="CharStyle17"/>
          <w:lang w:val="en-US" w:eastAsia="en-US"/>
        </w:rPr>
        <w:t xml:space="preserve">10 </w:t>
      </w:r>
      <w:r>
        <w:rPr>
          <w:rStyle w:val="CharStyle17"/>
        </w:rPr>
        <w:t xml:space="preserve">единиц Хаунсфилда </w:t>
      </w:r>
      <w:r>
        <w:rPr>
          <w:rStyle w:val="CharStyle17"/>
          <w:lang w:val="en-US" w:eastAsia="en-US"/>
        </w:rPr>
        <w:t xml:space="preserve">(HU) </w:t>
      </w:r>
      <w:r>
        <w:rPr>
          <w:rStyle w:val="CharStyle17"/>
        </w:rPr>
        <w:t>и находится на пределе визуального восприятия.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Современные системы автоматической оценки </w:t>
      </w:r>
      <w:r>
        <w:rPr>
          <w:rStyle w:val="CharStyle17"/>
          <w:lang w:val="en-US" w:eastAsia="en-US"/>
        </w:rPr>
        <w:t xml:space="preserve">ASPECTS (e-ASPECTS/Brainomix RAPID ASPECTS/RapidAI, Viz.AI) </w:t>
      </w:r>
      <w:r>
        <w:rPr>
          <w:rStyle w:val="CharStyle17"/>
        </w:rPr>
        <w:t xml:space="preserve">обеспечивают пиксельный анализ ИП-значений во всех </w:t>
      </w:r>
      <w:r>
        <w:rPr>
          <w:rStyle w:val="CharStyle17"/>
          <w:lang w:val="en-US" w:eastAsia="en-US"/>
        </w:rPr>
        <w:t xml:space="preserve">10 </w:t>
      </w:r>
      <w:r>
        <w:rPr>
          <w:rStyle w:val="CharStyle17"/>
        </w:rPr>
        <w:t xml:space="preserve">регионах шкалы в течение </w:t>
      </w:r>
      <w:r>
        <w:rPr>
          <w:rStyle w:val="CharStyle17"/>
          <w:lang w:val="en-US" w:eastAsia="en-US"/>
        </w:rPr>
        <w:t xml:space="preserve">15-90 </w:t>
      </w:r>
      <w:r>
        <w:rPr>
          <w:rStyle w:val="CharStyle17"/>
        </w:rPr>
        <w:t xml:space="preserve">секунд после завершения сканирования, незамедлительно передавая результат на устройство дежурного невролога. Алгоритмический анализ обнаруживает гиподенсивность при снижении плотности от </w:t>
      </w:r>
      <w:r>
        <w:rPr>
          <w:rStyle w:val="CharStyle17"/>
          <w:lang w:val="en-US" w:eastAsia="en-US"/>
        </w:rPr>
        <w:t xml:space="preserve">4-6 HU, </w:t>
      </w:r>
      <w:r>
        <w:rPr>
          <w:rStyle w:val="CharStyle17"/>
        </w:rPr>
        <w:t xml:space="preserve">что недостижимо при визуальной оценке и особенно актуально в терапевтическом окне до </w:t>
      </w:r>
      <w:r>
        <w:rPr>
          <w:rStyle w:val="CharStyle17"/>
          <w:lang w:val="en-US" w:eastAsia="en-US"/>
        </w:rPr>
        <w:t xml:space="preserve">6 </w:t>
      </w:r>
      <w:r>
        <w:rPr>
          <w:rStyle w:val="CharStyle17"/>
        </w:rPr>
        <w:t xml:space="preserve">часов. Система </w:t>
      </w:r>
      <w:r>
        <w:rPr>
          <w:rStyle w:val="CharStyle17"/>
          <w:lang w:val="en-US" w:eastAsia="en-US"/>
        </w:rPr>
        <w:t>e</w:t>
        <w:softHyphen/>
        <w:t xml:space="preserve">ASPECTS </w:t>
      </w:r>
      <w:r>
        <w:rPr>
          <w:rStyle w:val="CharStyle17"/>
        </w:rPr>
        <w:t xml:space="preserve">продемонстрировала сопоставимую с врачом-рентгенологом чувствительность при выявлении ранних ишемических изменений </w:t>
      </w:r>
      <w:r>
        <w:rPr>
          <w:rStyle w:val="CharStyle17"/>
          <w:lang w:val="en-US" w:eastAsia="en-US"/>
        </w:rPr>
        <w:t xml:space="preserve">— </w:t>
      </w:r>
      <w:r>
        <w:rPr>
          <w:rStyle w:val="CharStyle17"/>
        </w:rPr>
        <w:t xml:space="preserve">особенно при баллах </w:t>
      </w:r>
      <w:r>
        <w:rPr>
          <w:rStyle w:val="CharStyle17"/>
          <w:lang w:val="en-US" w:eastAsia="en-US"/>
        </w:rPr>
        <w:t xml:space="preserve">≤ 7, </w:t>
      </w:r>
      <w:r>
        <w:rPr>
          <w:rStyle w:val="CharStyle17"/>
        </w:rPr>
        <w:t xml:space="preserve">имеющих наибольшее терапевтическое значение </w:t>
      </w:r>
      <w:r>
        <w:rPr>
          <w:rStyle w:val="CharStyle17"/>
          <w:lang w:val="en-US" w:eastAsia="en-US"/>
        </w:rPr>
        <w:t>(Herweh et al., 2016).</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Значение в протоколах тромбэктомии. В протоколах механической тромбэктомии с целевым временем менее </w:t>
      </w:r>
      <w:r>
        <w:rPr>
          <w:rStyle w:val="CharStyle17"/>
          <w:lang w:val="en-US" w:eastAsia="en-US"/>
        </w:rPr>
        <w:t xml:space="preserve">60 </w:t>
      </w:r>
      <w:r>
        <w:rPr>
          <w:rStyle w:val="CharStyle17"/>
        </w:rPr>
        <w:t xml:space="preserve">минут ручная оценка </w:t>
      </w:r>
      <w:r>
        <w:rPr>
          <w:rStyle w:val="CharStyle17"/>
          <w:lang w:val="en-US" w:eastAsia="en-US"/>
        </w:rPr>
        <w:t xml:space="preserve">ASPECTS </w:t>
      </w:r>
      <w:r>
        <w:rPr>
          <w:rStyle w:val="CharStyle17"/>
        </w:rPr>
        <w:t xml:space="preserve">становится узким местом маршрутизации пациента. Точное определение </w:t>
      </w:r>
      <w:r>
        <w:rPr>
          <w:rStyle w:val="CharStyle17"/>
          <w:lang w:val="en-US" w:eastAsia="en-US"/>
        </w:rPr>
        <w:t xml:space="preserve">ASPECTS </w:t>
      </w:r>
      <w:r>
        <w:rPr>
          <w:rStyle w:val="CharStyle17"/>
        </w:rPr>
        <w:t xml:space="preserve">является независимым предиктором клинического исхода при тромбэктомии </w:t>
      </w:r>
      <w:r>
        <w:rPr>
          <w:rStyle w:val="CharStyle17"/>
          <w:lang w:val="en-US" w:eastAsia="en-US"/>
        </w:rPr>
        <w:t xml:space="preserve">(Goyal et al., 2016). </w:t>
      </w:r>
      <w:r>
        <w:rPr>
          <w:rStyle w:val="CharStyle17"/>
        </w:rPr>
        <w:t>Автоматизированные системы устраняют задержку: результат поступает параллельно с транспортировкой пациента в отделение рентгенхирургических методов лечения, не требуя ожидания заключения рентгенолога.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Регуляторный статус и доказательная база. Системы </w:t>
      </w:r>
      <w:r>
        <w:rPr>
          <w:rStyle w:val="CharStyle17"/>
          <w:lang w:val="en-US" w:eastAsia="en-US"/>
        </w:rPr>
        <w:t xml:space="preserve">e-ASPECTS </w:t>
      </w:r>
      <w:r>
        <w:rPr>
          <w:rStyle w:val="CharStyle17"/>
        </w:rPr>
        <w:t xml:space="preserve">и </w:t>
      </w:r>
      <w:r>
        <w:rPr>
          <w:rStyle w:val="CharStyle17"/>
          <w:lang w:val="en-US" w:eastAsia="en-US"/>
        </w:rPr>
        <w:t xml:space="preserve">Viz.AI </w:t>
      </w:r>
      <w:r>
        <w:rPr>
          <w:rStyle w:val="CharStyle17"/>
        </w:rPr>
        <w:t xml:space="preserve">имеют регистрацию СЕ и допуск </w:t>
      </w:r>
      <w:r>
        <w:rPr>
          <w:rStyle w:val="CharStyle17"/>
          <w:lang w:val="en-US" w:eastAsia="en-US"/>
        </w:rPr>
        <w:t xml:space="preserve">FDA </w:t>
      </w:r>
      <w:r>
        <w:rPr>
          <w:rStyle w:val="CharStyle17"/>
        </w:rPr>
        <w:t xml:space="preserve">(510(к)), что подтверждает их клиническую валидность. Руководства </w:t>
      </w:r>
      <w:r>
        <w:rPr>
          <w:rStyle w:val="CharStyle17"/>
          <w:lang w:val="en-US" w:eastAsia="en-US"/>
        </w:rPr>
        <w:t xml:space="preserve">ESO/ESOC 2023 </w:t>
      </w:r>
      <w:r>
        <w:rPr>
          <w:rStyle w:val="CharStyle17"/>
        </w:rPr>
        <w:t xml:space="preserve">по механической тромбэктомии и клинические рекомендации «Ишемический инсульт и транзиторная ишемическая атака у взрослых» </w:t>
      </w:r>
      <w:r>
        <w:rPr>
          <w:rStyle w:val="CharStyle17"/>
          <w:lang w:val="en-US" w:eastAsia="en-US"/>
        </w:rPr>
        <w:t xml:space="preserve">(2021) </w:t>
      </w:r>
      <w:r>
        <w:rPr>
          <w:rStyle w:val="CharStyle17"/>
        </w:rPr>
        <w:t xml:space="preserve">включают автоматизированные инструменты оценки </w:t>
      </w:r>
      <w:r>
        <w:rPr>
          <w:rStyle w:val="CharStyle17"/>
          <w:lang w:val="en-US" w:eastAsia="en-US"/>
        </w:rPr>
        <w:t xml:space="preserve">ASPECTS </w:t>
      </w:r>
      <w:r>
        <w:rPr>
          <w:rStyle w:val="CharStyle17"/>
        </w:rPr>
        <w:t>в алгоритм принятия решений как рекомендуемый компонент сортировки пациентов. Производители спиральных КТ интегрируют модули автоматического нейроанализа непосредственно в рабочие станции томографов, что подтверждает их статус стандартного функционального модуля, а не «избыточной» опции.</w:t>
      </w:r>
    </w:p>
    <w:p>
      <w:pPr>
        <w:pStyle w:val="Style16"/>
        <w:keepNext w:val="0"/>
        <w:keepLines w:val="0"/>
        <w:widowControl w:val="0"/>
        <w:shd w:val="clear" w:color="auto" w:fill="auto"/>
        <w:bidi w:val="0"/>
        <w:spacing w:before="0" w:after="0" w:line="298" w:lineRule="auto"/>
        <w:ind w:left="0" w:right="0" w:firstLine="580"/>
        <w:jc w:val="both"/>
        <w:sectPr>
          <w:footerReference w:type="default" r:id="rId10"/>
          <w:footerReference w:type="even" r:id="rId11"/>
          <w:footnotePr>
            <w:pos w:val="pageBottom"/>
            <w:numFmt w:val="decimal"/>
            <w:numRestart w:val="continuous"/>
          </w:footnotePr>
          <w:pgSz w:w="11900" w:h="16840"/>
          <w:pgMar w:top="1110" w:right="684" w:bottom="569" w:left="1106" w:header="0" w:footer="3" w:gutter="0"/>
          <w:cols w:space="720"/>
          <w:noEndnote/>
          <w:rtlGutter w:val="0"/>
          <w:docGrid w:linePitch="360"/>
        </w:sectPr>
      </w:pPr>
      <w:r>
        <w:rPr>
          <w:rStyle w:val="CharStyle17"/>
        </w:rPr>
        <w:t xml:space="preserve">Таким образом, требование о наличии ПО для анализа паренхимы головного мозга автоматической оценки по шкале </w:t>
      </w:r>
      <w:r>
        <w:rPr>
          <w:rStyle w:val="CharStyle17"/>
          <w:lang w:val="en-US" w:eastAsia="en-US"/>
        </w:rPr>
        <w:t xml:space="preserve">ASPECTS </w:t>
      </w:r>
      <w:r>
        <w:rPr>
          <w:rStyle w:val="CharStyle17"/>
        </w:rPr>
        <w:t xml:space="preserve">обусловлено реальными клиническими потребностями Учреждения, соответствует действующим порядкам оказания медицинской </w:t>
      </w:r>
      <w:r>
        <w:rPr>
          <w:rStyle w:val="CharStyle17"/>
          <w:lang w:val="en-US" w:eastAsia="en-US"/>
        </w:rPr>
        <w:t>2026-2938</w:t>
      </w:r>
    </w:p>
    <w:p>
      <w:pPr>
        <w:pStyle w:val="Style16"/>
        <w:keepNext w:val="0"/>
        <w:keepLines w:val="0"/>
        <w:widowControl w:val="0"/>
        <w:shd w:val="clear" w:color="auto" w:fill="auto"/>
        <w:bidi w:val="0"/>
        <w:spacing w:before="0" w:after="0" w:line="240" w:lineRule="auto"/>
        <w:ind w:left="0" w:right="0" w:firstLine="0"/>
        <w:jc w:val="both"/>
      </w:pPr>
      <w:r>
        <w:rPr>
          <w:rStyle w:val="CharStyle17"/>
        </w:rPr>
        <w:t>помощи и международным клиническим рекомендациям.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При коронарной КТ-ангиографии программный анализ бляшек позволяет дифференцировать тактику ведения пациентов с умеренным стенозом </w:t>
      </w:r>
      <w:r>
        <w:rPr>
          <w:rStyle w:val="CharStyle17"/>
          <w:lang w:val="en-US" w:eastAsia="en-US"/>
        </w:rPr>
        <w:t xml:space="preserve">40—70% </w:t>
      </w:r>
      <w:r>
        <w:rPr>
          <w:rStyle w:val="CharStyle17"/>
        </w:rPr>
        <w:t xml:space="preserve">в зависимости от морфологии бляшки. В крупном проспективном исследовании </w:t>
      </w:r>
      <w:r>
        <w:rPr>
          <w:rStyle w:val="CharStyle17"/>
          <w:lang w:val="en-US" w:eastAsia="en-US"/>
        </w:rPr>
        <w:t xml:space="preserve">CONFIRM (n = 5 569) </w:t>
      </w:r>
      <w:r>
        <w:rPr>
          <w:rStyle w:val="CharStyle17"/>
        </w:rPr>
        <w:t xml:space="preserve">наличие некальцифицированных бляшек по данным КТ-ангиографии являлось независимым предиктором смертности с </w:t>
      </w:r>
      <w:r>
        <w:rPr>
          <w:rStyle w:val="CharStyle17"/>
          <w:lang w:val="en-US" w:eastAsia="en-US"/>
        </w:rPr>
        <w:t xml:space="preserve">HR = 3,35. </w:t>
      </w:r>
      <w:r>
        <w:rPr>
          <w:rStyle w:val="CharStyle17"/>
        </w:rPr>
        <w:t xml:space="preserve">Автоматизированное ПО воспроизводит измерение объёма некальцифицированной бляшки с внутриклассовым коэффициентом корреляции </w:t>
      </w:r>
      <w:r>
        <w:rPr>
          <w:rStyle w:val="CharStyle17"/>
          <w:lang w:val="en-US" w:eastAsia="en-US"/>
        </w:rPr>
        <w:t xml:space="preserve">ICC </w:t>
      </w:r>
      <w:r>
        <w:rPr>
          <w:rStyle w:val="CharStyle17"/>
        </w:rPr>
        <w:t xml:space="preserve">больше </w:t>
      </w:r>
      <w:r>
        <w:rPr>
          <w:rStyle w:val="CharStyle17"/>
          <w:lang w:val="en-US" w:eastAsia="en-US"/>
        </w:rPr>
        <w:t xml:space="preserve">90 </w:t>
      </w:r>
      <w:r>
        <w:rPr>
          <w:rStyle w:val="CharStyle17"/>
        </w:rPr>
        <w:t xml:space="preserve">обеспечивает статистически состоятельный мониторинг эффективности гиполипидемической терапии. При оценке сонных артерий автоматический анализ бляшек выявляет нестабильные некальцифицированные поражения у пациентов с ТИА (Транзиторная ишемическая атака) и малыми инсультами, когда степень стеноза по критериям </w:t>
      </w:r>
      <w:r>
        <w:rPr>
          <w:rStyle w:val="CharStyle17"/>
          <w:lang w:val="en-US" w:eastAsia="en-US"/>
        </w:rPr>
        <w:t xml:space="preserve">NASCET </w:t>
      </w:r>
      <w:r>
        <w:rPr>
          <w:rStyle w:val="CharStyle17"/>
        </w:rPr>
        <w:t>не достигает порога хирургического вмешательства.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Регуляторный статус. Платформы автоматического анализа бляшек имеют регистрацию СЕ и допуск </w:t>
      </w:r>
      <w:r>
        <w:rPr>
          <w:rStyle w:val="CharStyle17"/>
          <w:lang w:val="en-US" w:eastAsia="en-US"/>
        </w:rPr>
        <w:t xml:space="preserve">FDA, </w:t>
      </w:r>
      <w:r>
        <w:rPr>
          <w:rStyle w:val="CharStyle17"/>
        </w:rPr>
        <w:t xml:space="preserve">что подтверждает их валидацию как медицинских изделий. Рекомендации АСС/АНА </w:t>
      </w:r>
      <w:r>
        <w:rPr>
          <w:rStyle w:val="CharStyle17"/>
          <w:lang w:val="en-US" w:eastAsia="en-US"/>
        </w:rPr>
        <w:t xml:space="preserve">2023 </w:t>
      </w:r>
      <w:r>
        <w:rPr>
          <w:rStyle w:val="CharStyle17"/>
        </w:rPr>
        <w:t xml:space="preserve">по первичной профилактике сердечно-сосудистых заболеваний и Клинические рекомендации по стабильной ишемической болезни сердца </w:t>
      </w:r>
      <w:r>
        <w:rPr>
          <w:rStyle w:val="CharStyle17"/>
          <w:lang w:val="en-US" w:eastAsia="en-US"/>
        </w:rPr>
        <w:t xml:space="preserve">(2024) </w:t>
      </w:r>
      <w:r>
        <w:rPr>
          <w:rStyle w:val="CharStyle17"/>
        </w:rPr>
        <w:t xml:space="preserve">включают количественную КТ-оценку бляшек как инструмент стратификации риска у пациентов промежуточной группы. Руководства </w:t>
      </w:r>
      <w:r>
        <w:rPr>
          <w:rStyle w:val="CharStyle17"/>
          <w:lang w:val="en-US" w:eastAsia="en-US"/>
        </w:rPr>
        <w:t xml:space="preserve">ESC/ESVS 2023 </w:t>
      </w:r>
      <w:r>
        <w:rPr>
          <w:rStyle w:val="CharStyle17"/>
        </w:rPr>
        <w:t>по заболеваниям периферических артерий указывают на значимость оценки состава бляшки сонных артерий при определении показаний к реваскуляризации.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Таким образом, требование о наличии данного программного модуля клинически обосновано, соответствует действующим международным и российским рекомендациям и является условием проведения КТ-диагностики атеросклероза на уровне современных стандартов.</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При использовании современных алгоритмов итеративной реконструкции и проспективного триггирования эффективная доза при коронарной КТ-ангиографии составляет </w:t>
      </w:r>
      <w:r>
        <w:rPr>
          <w:rStyle w:val="CharStyle17"/>
          <w:lang w:val="en-US" w:eastAsia="en-US"/>
        </w:rPr>
        <w:t xml:space="preserve">0,5-3,0 </w:t>
      </w:r>
      <w:r>
        <w:rPr>
          <w:rStyle w:val="CharStyle17"/>
        </w:rPr>
        <w:t xml:space="preserve">мЗв </w:t>
      </w:r>
      <w:r>
        <w:rPr>
          <w:rStyle w:val="CharStyle17"/>
          <w:lang w:val="en-US" w:eastAsia="en-US"/>
        </w:rPr>
        <w:t xml:space="preserve">— </w:t>
      </w:r>
      <w:r>
        <w:rPr>
          <w:rStyle w:val="CharStyle17"/>
        </w:rPr>
        <w:t xml:space="preserve">снижение на </w:t>
      </w:r>
      <w:r>
        <w:rPr>
          <w:rStyle w:val="CharStyle17"/>
          <w:lang w:val="en-US" w:eastAsia="en-US"/>
        </w:rPr>
        <w:t xml:space="preserve">70-90% </w:t>
      </w:r>
      <w:r>
        <w:rPr>
          <w:rStyle w:val="CharStyle17"/>
        </w:rPr>
        <w:t xml:space="preserve">по сравнению с ретроспективным протоколом </w:t>
      </w:r>
      <w:r>
        <w:rPr>
          <w:rStyle w:val="CharStyle17"/>
          <w:lang w:val="en-US" w:eastAsia="en-US"/>
        </w:rPr>
        <w:t xml:space="preserve">(12-25 </w:t>
      </w:r>
      <w:r>
        <w:rPr>
          <w:rStyle w:val="CharStyle17"/>
        </w:rPr>
        <w:t xml:space="preserve">мЗв), что сопоставимо с дозой при инвазивной коронарографии </w:t>
      </w:r>
      <w:r>
        <w:rPr>
          <w:rStyle w:val="CharStyle17"/>
          <w:lang w:val="en-US" w:eastAsia="en-US"/>
        </w:rPr>
        <w:t xml:space="preserve">(Earls et al., 2008; Achenbach et al., 2011). </w:t>
      </w:r>
      <w:r>
        <w:rPr>
          <w:rStyle w:val="CharStyle17"/>
        </w:rPr>
        <w:t xml:space="preserve">Пространственное разрешение в проспективном режиме достигает </w:t>
      </w:r>
      <w:r>
        <w:rPr>
          <w:rStyle w:val="CharStyle17"/>
          <w:lang w:val="en-US" w:eastAsia="en-US"/>
        </w:rPr>
        <w:t xml:space="preserve">0,3-0,4 </w:t>
      </w:r>
      <w:r>
        <w:rPr>
          <w:rStyle w:val="CharStyle17"/>
        </w:rPr>
        <w:t xml:space="preserve">мм, что обеспечивает визуализацию коронарных артерий диаметром до </w:t>
      </w:r>
      <w:r>
        <w:rPr>
          <w:rStyle w:val="CharStyle17"/>
          <w:lang w:val="en-US" w:eastAsia="en-US"/>
        </w:rPr>
        <w:t xml:space="preserve">1,5 </w:t>
      </w:r>
      <w:r>
        <w:rPr>
          <w:rStyle w:val="CharStyle17"/>
        </w:rPr>
        <w:t xml:space="preserve">мм включая дистальные сегменты и боковые ветви. Клиническая эффективность коронарной КТ- ангиографии с проспективной ЭКГ-синхронизацией подтверадена в крупных рандомизированных исследованиях </w:t>
      </w:r>
      <w:r>
        <w:rPr>
          <w:rStyle w:val="CharStyle17"/>
          <w:lang w:val="en-US" w:eastAsia="en-US"/>
        </w:rPr>
        <w:t xml:space="preserve">SCOT-HEART </w:t>
      </w:r>
      <w:r>
        <w:rPr>
          <w:rStyle w:val="CharStyle17"/>
        </w:rPr>
        <w:t xml:space="preserve">и </w:t>
      </w:r>
      <w:r>
        <w:rPr>
          <w:rStyle w:val="CharStyle17"/>
          <w:lang w:val="en-US" w:eastAsia="en-US"/>
        </w:rPr>
        <w:t>PROMISE.</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Проспективный режим является методом выбора при исключении обструктивной ишемической болезни сердца у пациентов с промежуточной предтестовой вероятностью. Согласно Рекомендациям </w:t>
      </w:r>
      <w:r>
        <w:rPr>
          <w:rStyle w:val="CharStyle17"/>
          <w:lang w:val="en-US" w:eastAsia="en-US"/>
        </w:rPr>
        <w:t xml:space="preserve">ESC 2023 </w:t>
      </w:r>
      <w:r>
        <w:rPr>
          <w:rStyle w:val="CharStyle17"/>
        </w:rPr>
        <w:t>(Европейское общество кардиологов)</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Клиническим рекомендациям М3 РФ по стабильной ишемической болезни сердца </w:t>
      </w:r>
      <w:r>
        <w:rPr>
          <w:rStyle w:val="CharStyle17"/>
          <w:lang w:val="en-US" w:eastAsia="en-US"/>
        </w:rPr>
        <w:t xml:space="preserve">(2024), </w:t>
      </w:r>
      <w:r>
        <w:rPr>
          <w:rStyle w:val="CharStyle17"/>
        </w:rPr>
        <w:t xml:space="preserve">коронарная КТ-ангиография имеет класс показаний </w:t>
      </w:r>
      <w:r>
        <w:rPr>
          <w:rStyle w:val="CharStyle17"/>
          <w:lang w:val="en-US" w:eastAsia="en-US"/>
        </w:rPr>
        <w:t xml:space="preserve">I </w:t>
      </w:r>
      <w:r>
        <w:rPr>
          <w:rStyle w:val="CharStyle17"/>
        </w:rPr>
        <w:t xml:space="preserve">(уровень доказательности А) как первичный неинвазивный метод диагностики. Отрицательная предсказательная ценность ККТА превышает </w:t>
      </w:r>
      <w:r>
        <w:rPr>
          <w:rStyle w:val="CharStyle17"/>
          <w:lang w:val="en-US" w:eastAsia="en-US"/>
        </w:rPr>
        <w:t xml:space="preserve">97—99%. </w:t>
      </w:r>
      <w:r>
        <w:rPr>
          <w:rStyle w:val="CharStyle17"/>
        </w:rPr>
        <w:t>Помимо этого, проспективная синхронизация применяется при оценке врождённых пороков сердца, при исследовании лёгочных вен перед абляцией при фибрилляции предсердий и при оценке тромбоза ушка левого предсердия. При комплексной оценке аорты и лёгочной артерии проспективная синхронизация устраняет артефакты пульсации восходящей аорты, повышает точность измерения диаметров и исключает ложноположительные диссекции.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Производители спиральных КТ реализуют проспективную ЭКГ-синхронизацию в специализированных кардиологических пакетов, что подтверждает статус данной технологии как обязательного функционального модуля современного КТ, а не факультативной опции.</w:t>
      </w:r>
    </w:p>
    <w:p>
      <w:pPr>
        <w:pStyle w:val="Style16"/>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pgSz w:w="11900" w:h="16840"/>
          <w:pgMar w:top="1110" w:right="680" w:bottom="1064" w:left="1106" w:header="0" w:footer="3" w:gutter="0"/>
          <w:cols w:space="720"/>
          <w:noEndnote/>
          <w:rtlGutter w:val="0"/>
          <w:docGrid w:linePitch="360"/>
        </w:sectPr>
      </w:pPr>
      <w:r>
        <w:rPr>
          <w:rStyle w:val="CharStyle17"/>
        </w:rPr>
        <w:t>Таким образом, требование наличия проспективного режима ЭКГ-синхронизации обусловлено необходимостью соблюдения принципа радиационной безопасности пациентов</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соответствует международным клиническим рекомендациям АСС/АНА 2021, </w:t>
      </w:r>
      <w:r>
        <w:rPr>
          <w:rStyle w:val="CharStyle17"/>
          <w:lang w:val="en-US" w:eastAsia="en-US"/>
        </w:rPr>
        <w:t xml:space="preserve">ESC </w:t>
      </w:r>
      <w:r>
        <w:rPr>
          <w:rStyle w:val="CharStyle17"/>
        </w:rPr>
        <w:t>2023 и является клинически обоснованным.</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 ходе рассмотрения жалобы по существу, исходя из представленных в материалы дела документов, Комиссия Калужского УФАС России установила, что заказчиком получены 3 коммерческих предложений, под требования Заказчика подходят товары не менее 2 производителей, также, в ходе рассмотрения жалобы по существу, Комиссия Калужского УФАС России установила, что на участие в аукционе поданы 5 заявок, что свидетельствует об обеспечении конкуренции.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Таким образом, спорные характеристики установлены с учетом потребности Заказчика и не приводит к ограничению конкуренции.</w:t>
      </w:r>
    </w:p>
    <w:p>
      <w:pPr>
        <w:pStyle w:val="Style16"/>
        <w:keepNext w:val="0"/>
        <w:keepLines w:val="0"/>
        <w:widowControl w:val="0"/>
        <w:shd w:val="clear" w:color="auto" w:fill="auto"/>
        <w:bidi w:val="0"/>
        <w:spacing w:before="0" w:after="0" w:line="240" w:lineRule="auto"/>
        <w:ind w:left="0" w:right="0" w:firstLine="580"/>
        <w:jc w:val="both"/>
      </w:pPr>
      <w:r>
        <w:rPr>
          <w:rStyle w:val="CharStyle17"/>
        </w:rPr>
        <w:t>На основании вышеизложенного, Комиссия Калужского УФАС России приходит к выводу о необоснованности доводов жалобы Заявителя.</w:t>
      </w:r>
    </w:p>
    <w:p>
      <w:pPr>
        <w:pStyle w:val="Style16"/>
        <w:keepNext w:val="0"/>
        <w:keepLines w:val="0"/>
        <w:widowControl w:val="0"/>
        <w:shd w:val="clear" w:color="auto" w:fill="auto"/>
        <w:bidi w:val="0"/>
        <w:spacing w:before="0" w:after="0" w:line="240" w:lineRule="auto"/>
        <w:ind w:left="0" w:right="0" w:firstLine="580"/>
        <w:jc w:val="both"/>
      </w:pPr>
      <w:r>
        <w:rPr>
          <w:rStyle w:val="CharStyle17"/>
          <w:b/>
          <w:bCs/>
        </w:rPr>
        <w:t xml:space="preserve">6. </w:t>
      </w:r>
      <w:r>
        <w:rPr>
          <w:rStyle w:val="CharStyle17"/>
        </w:rPr>
        <w:t>Согласно доводам жалобы Заявителя, установленные заказчиком в описание объекта закупки требования фактически блокируют участие российского производителя.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Вместе с тем, в ходе рассмотрения жалобы по существу, Комиссия Калужского УФАС России установила следующее.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Подпунктом а) пункта 7 постановления Правительства РФ от 23.12.2024 </w:t>
      </w:r>
      <w:r>
        <w:rPr>
          <w:rStyle w:val="CharStyle17"/>
          <w:lang w:val="en-US" w:eastAsia="en-US"/>
        </w:rPr>
        <w:t xml:space="preserve">N </w:t>
      </w:r>
      <w:r>
        <w:rPr>
          <w:rStyle w:val="CharStyle17"/>
        </w:rPr>
        <w:t>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установлены особенности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w:t>
      </w:r>
    </w:p>
    <w:p>
      <w:pPr>
        <w:pStyle w:val="Style16"/>
        <w:keepNext w:val="0"/>
        <w:keepLines w:val="0"/>
        <w:widowControl w:val="0"/>
        <w:shd w:val="clear" w:color="auto" w:fill="auto"/>
        <w:bidi w:val="0"/>
        <w:spacing w:before="0" w:after="0" w:line="240" w:lineRule="auto"/>
        <w:ind w:left="0" w:right="0" w:firstLine="580"/>
        <w:jc w:val="both"/>
      </w:pPr>
      <w:r>
        <w:rPr>
          <w:rStyle w:val="CharStyle17"/>
        </w:rPr>
        <w:t>При осуществлении закупки товаров, указанных в позициях 1 - 433 приложения № 2 к настоящему постановлению, такой особенностью является - декларирование в извещении об осуществлении закупки или в приглашении принять участие в определении поставщика (подрядчика, исполнителя) факса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6"/>
        <w:keepNext w:val="0"/>
        <w:keepLines w:val="0"/>
        <w:widowControl w:val="0"/>
        <w:shd w:val="clear" w:color="auto" w:fill="auto"/>
        <w:bidi w:val="0"/>
        <w:spacing w:before="0" w:after="0" w:line="240" w:lineRule="auto"/>
        <w:ind w:left="0" w:right="0" w:firstLine="580"/>
        <w:jc w:val="both"/>
      </w:pPr>
      <w:r>
        <w:rPr>
          <w:rStyle w:val="CharStyle17"/>
        </w:rPr>
        <w:t>Заказчиком к описанию объекта закупки была приложена Декларация об отсутствии закупаемого товара в реестре российской промышленной продукции; было направлено уведомление в Минпромторг России об отсутствии закупаемого товара в реестре российской промышленной продукции, с приложением описания объекта закупки с характеристиками товара, потребность в котором имеется у Заказчика и который отсутствует в реестре промышленной продукции.</w:t>
      </w:r>
    </w:p>
    <w:p>
      <w:pPr>
        <w:pStyle w:val="Style16"/>
        <w:keepNext w:val="0"/>
        <w:keepLines w:val="0"/>
        <w:widowControl w:val="0"/>
        <w:shd w:val="clear" w:color="auto" w:fill="auto"/>
        <w:bidi w:val="0"/>
        <w:spacing w:before="0" w:after="0" w:line="298" w:lineRule="auto"/>
        <w:ind w:left="0" w:right="0" w:firstLine="580"/>
        <w:jc w:val="both"/>
        <w:sectPr>
          <w:footnotePr>
            <w:pos w:val="pageBottom"/>
            <w:numFmt w:val="decimal"/>
            <w:numRestart w:val="continuous"/>
          </w:footnotePr>
          <w:pgSz w:w="11900" w:h="16840"/>
          <w:pgMar w:top="1110" w:right="689" w:bottom="569" w:left="1106" w:header="0" w:footer="3" w:gutter="0"/>
          <w:cols w:space="720"/>
          <w:noEndnote/>
          <w:rtlGutter w:val="0"/>
          <w:docGrid w:linePitch="360"/>
        </w:sectPr>
      </w:pPr>
      <w:r>
        <w:rPr>
          <w:rStyle w:val="CharStyle17"/>
        </w:rPr>
        <w:t>Министерство финансов Российской Федерации в своем Информационном письме от 31 января 2025 г. № 24-01-06/8697 «О применении положений постановления Правительства Российской Федерации от 23 декабря 2024 г. № 1875 «О мерах по предоставлению 2026-2938</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разъяснил порядок применения части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580"/>
        <w:jc w:val="both"/>
      </w:pPr>
      <w:r>
        <w:rPr>
          <w:rStyle w:val="CharStyle17"/>
        </w:rPr>
        <w:t>Согласно данным разъяснениям 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pPr>
        <w:pStyle w:val="Style16"/>
        <w:keepNext w:val="0"/>
        <w:keepLines w:val="0"/>
        <w:widowControl w:val="0"/>
        <w:shd w:val="clear" w:color="auto" w:fill="auto"/>
        <w:bidi w:val="0"/>
        <w:spacing w:before="0" w:after="0" w:line="240" w:lineRule="auto"/>
        <w:ind w:left="0" w:right="0" w:firstLine="580"/>
        <w:jc w:val="both"/>
      </w:pPr>
      <w:r>
        <w:rPr>
          <w:rStyle w:val="CharStyle17"/>
        </w:rPr>
        <w:t>На основании вышеизложенного, Комиссия Калужского УФАС России приходит к выводу о необоснованности доводов жалобы Заявителя.</w:t>
      </w:r>
    </w:p>
    <w:p>
      <w:pPr>
        <w:pStyle w:val="Style16"/>
        <w:keepNext w:val="0"/>
        <w:keepLines w:val="0"/>
        <w:widowControl w:val="0"/>
        <w:shd w:val="clear" w:color="auto" w:fill="auto"/>
        <w:bidi w:val="0"/>
        <w:spacing w:before="0" w:after="260" w:line="240" w:lineRule="auto"/>
        <w:ind w:left="0" w:right="0" w:firstLine="580"/>
        <w:jc w:val="both"/>
      </w:pPr>
      <w:r>
        <w:rPr>
          <w:rStyle w:val="CharStyle17"/>
        </w:rPr>
        <w:t xml:space="preserve">С учетом всех изложенных обстоятельств, установленных в ходе рассмотрения жалобы руководствуясь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 xml:space="preserve">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 xml:space="preserve">Закона о контрактной системе, Комиссия Калужского УФАС России </w:t>
      </w:r>
      <w:r>
        <w:rPr>
          <w:rStyle w:val="CharStyle17"/>
          <w:b/>
          <w:bCs/>
        </w:rPr>
        <w:t>решила:</w:t>
      </w:r>
    </w:p>
    <w:p>
      <w:pPr>
        <w:pStyle w:val="Style16"/>
        <w:keepNext w:val="0"/>
        <w:keepLines w:val="0"/>
        <w:widowControl w:val="0"/>
        <w:shd w:val="clear" w:color="auto" w:fill="auto"/>
        <w:bidi w:val="0"/>
        <w:spacing w:before="0" w:after="260" w:line="240" w:lineRule="auto"/>
        <w:ind w:left="0" w:right="0" w:firstLine="580"/>
        <w:jc w:val="both"/>
      </w:pPr>
      <w:r>
        <w:rPr>
          <w:rStyle w:val="CharStyle17"/>
        </w:rPr>
        <w:t xml:space="preserve">Признать жалобу ООО «РТ-Медкомплект» </w:t>
      </w:r>
      <w:r>
        <w:rPr>
          <w:rStyle w:val="CharStyle17"/>
          <w:b/>
          <w:bCs/>
        </w:rPr>
        <w:t>необоснованной.</w:t>
      </w:r>
    </w:p>
    <w:p>
      <w:pPr>
        <w:pStyle w:val="Style16"/>
        <w:keepNext w:val="0"/>
        <w:keepLines w:val="0"/>
        <w:widowControl w:val="0"/>
        <w:shd w:val="clear" w:color="auto" w:fill="auto"/>
        <w:bidi w:val="0"/>
        <w:spacing w:before="0" w:after="0" w:line="240" w:lineRule="auto"/>
        <w:ind w:left="0" w:right="0" w:firstLine="580"/>
        <w:jc w:val="both"/>
      </w:pPr>
      <w:r>
        <w:rPr>
          <w:rStyle w:val="CharStyle17"/>
        </w:rPr>
        <w:t xml:space="preserve">В соответствии с частью </w:t>
      </w:r>
      <w:r>
        <w:rPr>
          <w:rStyle w:val="CharStyle17"/>
          <w:lang w:val="en-US" w:eastAsia="en-US"/>
        </w:rPr>
        <w:t xml:space="preserve">9 </w:t>
      </w:r>
      <w:r>
        <w:rPr>
          <w:rStyle w:val="CharStyle17"/>
        </w:rPr>
        <w:t xml:space="preserve">статьи </w:t>
      </w:r>
      <w:r>
        <w:rPr>
          <w:rStyle w:val="CharStyle17"/>
          <w:lang w:val="en-US" w:eastAsia="en-US"/>
        </w:rPr>
        <w:t xml:space="preserve">106 </w:t>
      </w:r>
      <w:r>
        <w:rPr>
          <w:rStyle w:val="CharStyle17"/>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pgSz w:w="11900" w:h="16840"/>
          <w:pgMar w:top="1110" w:right="584" w:bottom="3780" w:left="1106" w:header="0" w:footer="3" w:gutter="0"/>
          <w:cols w:space="720"/>
          <w:noEndnote/>
          <w:rtlGutter w:val="0"/>
          <w:docGrid w:linePitch="360"/>
        </w:sectPr>
      </w:pPr>
      <w:r>
        <mc:AlternateContent>
          <mc:Choice Requires="wps">
            <w:drawing>
              <wp:anchor distT="304800" distB="225425" distL="0" distR="0" simplePos="0" relativeHeight="125829379" behindDoc="0" locked="0" layoutInCell="1" allowOverlap="1">
                <wp:simplePos x="0" y="0"/>
                <wp:positionH relativeFrom="page">
                  <wp:posOffset>739140</wp:posOffset>
                </wp:positionH>
                <wp:positionV relativeFrom="paragraph">
                  <wp:posOffset>304800</wp:posOffset>
                </wp:positionV>
                <wp:extent cx="1825625" cy="250190"/>
                <wp:wrapTopAndBottom/>
                <wp:docPr id="11" name="Shape 11"/>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22"/>
                              <w:keepNext/>
                              <w:keepLines/>
                              <w:widowControl w:val="0"/>
                              <w:shd w:val="clear" w:color="auto" w:fill="auto"/>
                              <w:bidi w:val="0"/>
                              <w:spacing w:before="0" w:after="0" w:line="240" w:lineRule="auto"/>
                              <w:ind w:left="0" w:right="0" w:firstLine="0"/>
                              <w:jc w:val="left"/>
                            </w:pPr>
                            <w:bookmarkStart w:id="2" w:name="bookmark2"/>
                            <w:r>
                              <w:rPr>
                                <w:rStyle w:val="CharStyle23"/>
                              </w:rPr>
                              <w:t>Председатель комиссии</w:t>
                            </w:r>
                            <w:bookmarkEnd w:id="2"/>
                          </w:p>
                        </w:txbxContent>
                      </wps:txbx>
                      <wps:bodyPr wrap="none" lIns="0" tIns="0" rIns="0" bIns="0">
                        <a:noAutoFit/>
                      </wps:bodyPr>
                    </wps:wsp>
                  </a:graphicData>
                </a:graphic>
              </wp:anchor>
            </w:drawing>
          </mc:Choice>
          <mc:Fallback>
            <w:pict>
              <v:shape id="_x0000_s1037" type="#_x0000_t202" style="position:absolute;margin-left:58.200000000000003pt;margin-top:24.pt;width:143.75pt;height:19.699999999999999pt;z-index:-125829374;mso-wrap-distance-left:0;mso-wrap-distance-top:24.pt;mso-wrap-distance-right:0;mso-wrap-distance-bottom:17.75pt;mso-position-horizontal-relative:page" filled="f" stroked="f">
                <v:textbox inset="0,0,0,0">
                  <w:txbxContent>
                    <w:p>
                      <w:pPr>
                        <w:pStyle w:val="Style22"/>
                        <w:keepNext/>
                        <w:keepLines/>
                        <w:widowControl w:val="0"/>
                        <w:shd w:val="clear" w:color="auto" w:fill="auto"/>
                        <w:bidi w:val="0"/>
                        <w:spacing w:before="0" w:after="0" w:line="240" w:lineRule="auto"/>
                        <w:ind w:left="0" w:right="0" w:firstLine="0"/>
                        <w:jc w:val="left"/>
                      </w:pPr>
                      <w:bookmarkStart w:id="2" w:name="bookmark2"/>
                      <w:r>
                        <w:rPr>
                          <w:rStyle w:val="CharStyle23"/>
                        </w:rPr>
                        <w:t>Председатель комиссии</w:t>
                      </w:r>
                      <w:bookmarkEnd w:id="2"/>
                    </w:p>
                  </w:txbxContent>
                </v:textbox>
                <w10:wrap type="topAndBottom" anchorx="page"/>
              </v:shape>
            </w:pict>
          </mc:Fallback>
        </mc:AlternateContent>
      </w:r>
      <w:r>
        <mc:AlternateContent>
          <mc:Choice Requires="wps">
            <w:drawing>
              <wp:anchor distT="466090" distB="55245" distL="0" distR="0" simplePos="0" relativeHeight="125829381" behindDoc="0" locked="0" layoutInCell="1" allowOverlap="1">
                <wp:simplePos x="0" y="0"/>
                <wp:positionH relativeFrom="page">
                  <wp:posOffset>3074035</wp:posOffset>
                </wp:positionH>
                <wp:positionV relativeFrom="paragraph">
                  <wp:posOffset>466090</wp:posOffset>
                </wp:positionV>
                <wp:extent cx="1722120" cy="259080"/>
                <wp:wrapTopAndBottom/>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36.700000000000003pt;width:135.59999999999999pt;height:20.400000000000002pt;z-index:-125829372;mso-wrap-distance-left:0;mso-wrap-distance-top:36.700000000000003pt;mso-wrap-distance-right:0;mso-wrap-distance-bottom:4.350000000000000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1"/>
                          <w:szCs w:val="11"/>
                        </w:rPr>
                      </w:pPr>
                      <w:r>
                        <w:rPr>
                          <w:rStyle w:val="CharStyle3"/>
                          <w:rFonts w:ascii="Georgia" w:eastAsia="Georgia" w:hAnsi="Georgia" w:cs="Georgia"/>
                          <w:color w:val="292929"/>
                          <w:sz w:val="11"/>
                          <w:szCs w:val="11"/>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557530" distB="635" distL="0" distR="0" simplePos="0" relativeHeight="125829383" behindDoc="0" locked="0" layoutInCell="1" allowOverlap="1">
                <wp:simplePos x="0" y="0"/>
                <wp:positionH relativeFrom="page">
                  <wp:posOffset>6100445</wp:posOffset>
                </wp:positionH>
                <wp:positionV relativeFrom="paragraph">
                  <wp:posOffset>557530</wp:posOffset>
                </wp:positionV>
                <wp:extent cx="1085215" cy="222250"/>
                <wp:wrapTopAndBottom/>
                <wp:docPr id="15" name="Shape 15"/>
                <a:graphic xmlns:a="http://schemas.openxmlformats.org/drawingml/2006/main">
                  <a:graphicData uri="http://schemas.microsoft.com/office/word/2010/wordprocessingShape">
                    <wps:wsp>
                      <wps:cNvSpPr txBox="1"/>
                      <wps:spPr>
                        <a:xfrm>
                          <a:ext cx="1085215" cy="22225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center"/>
                            </w:pPr>
                            <w:r>
                              <w:rPr>
                                <w:rStyle w:val="CharStyle19"/>
                              </w:rPr>
                              <w:t>М.А. Чуриков</w:t>
                            </w:r>
                          </w:p>
                        </w:txbxContent>
                      </wps:txbx>
                      <wps:bodyPr wrap="none" lIns="0" tIns="0" rIns="0" bIns="0">
                        <a:noAutoFit/>
                      </wps:bodyPr>
                    </wps:wsp>
                  </a:graphicData>
                </a:graphic>
              </wp:anchor>
            </w:drawing>
          </mc:Choice>
          <mc:Fallback>
            <w:pict>
              <v:shape id="_x0000_s1041" type="#_x0000_t202" style="position:absolute;margin-left:480.35000000000002pt;margin-top:43.899999999999999pt;width:85.450000000000003pt;height:17.5pt;z-index:-125829370;mso-wrap-distance-left:0;mso-wrap-distance-top:43.899999999999999pt;mso-wrap-distance-right:0;mso-wrap-distance-bottom:5.0000000000000003e-002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center"/>
                      </w:pPr>
                      <w:r>
                        <w:rPr>
                          <w:rStyle w:val="CharStyle19"/>
                        </w:rPr>
                        <w:t>М.А. Чуриков</w:t>
                      </w:r>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9"/>
          <w:color w:val="FFFFFF"/>
          <w:sz w:val="11"/>
          <w:szCs w:val="11"/>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Чуриков Максим Александрович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00CACD61</w:t>
      </w:r>
      <w:r>
        <w:rPr>
          <w:rStyle w:val="CharStyle29"/>
        </w:rPr>
        <w:t>А057Е31</w:t>
      </w:r>
      <w:r>
        <w:rPr>
          <w:rStyle w:val="CharStyle29"/>
          <w:lang w:val="en-US" w:eastAsia="en-US"/>
        </w:rPr>
        <w:t>B9A3D0DC71</w:t>
      </w:r>
      <w:r>
        <w:rPr>
          <w:rStyle w:val="CharStyle29"/>
        </w:rPr>
        <w:t>44ВЗС0В5</w:t>
      </w:r>
      <w:r>
        <w:rPr>
          <w:rStyle w:val="CharStyle29"/>
        </w:rPr>
        <w:t>&lt;</w:t>
      </w:r>
    </w:p>
    <w:p>
      <w:pPr>
        <w:pStyle w:val="Style28"/>
        <w:keepNext w:val="0"/>
        <w:keepLines w:val="0"/>
        <w:widowControl w:val="0"/>
        <w:shd w:val="clear" w:color="auto" w:fill="auto"/>
        <w:bidi w:val="0"/>
        <w:spacing w:before="0" w:after="280" w:line="240" w:lineRule="auto"/>
        <w:ind w:right="0" w:firstLine="0"/>
        <w:jc w:val="left"/>
      </w:pPr>
      <w:r>
        <w:rPr>
          <w:rStyle w:val="CharStyle29"/>
        </w:rPr>
        <w:t xml:space="preserve">Действителен с 08.04.2025 </w:t>
      </w:r>
      <w:r>
        <w:rPr>
          <w:rStyle w:val="CharStyle29"/>
          <w:color w:val="5E5E5E"/>
        </w:rPr>
        <w:t xml:space="preserve">по </w:t>
      </w:r>
      <w:r>
        <w:rPr>
          <w:rStyle w:val="CharStyle29"/>
        </w:rPr>
        <w:t>02.07.2026</w:t>
      </w:r>
    </w:p>
    <w:p>
      <w:pPr>
        <w:pStyle w:val="Style22"/>
        <w:keepNext/>
        <w:keepLines/>
        <w:widowControl w:val="0"/>
        <w:shd w:val="clear" w:color="auto" w:fill="auto"/>
        <w:bidi w:val="0"/>
        <w:spacing w:before="0" w:after="100" w:line="240" w:lineRule="auto"/>
        <w:ind w:left="0" w:right="0" w:firstLine="0"/>
        <w:jc w:val="left"/>
      </w:pPr>
      <w:bookmarkStart w:id="4" w:name="bookmark4"/>
      <w:r>
        <w:rPr>
          <w:rStyle w:val="CharStyle23"/>
        </w:rPr>
        <w:t>Члены комиссии:</w:t>
      </w:r>
      <w:bookmarkEnd w:id="4"/>
    </w:p>
    <w:p>
      <w:pPr>
        <w:pStyle w:val="Style22"/>
        <w:keepNext/>
        <w:keepLines/>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2622550</wp:posOffset>
            </wp:positionH>
            <wp:positionV relativeFrom="paragraph">
              <wp:posOffset>25400</wp:posOffset>
            </wp:positionV>
            <wp:extent cx="389890" cy="55499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2"/>
                    <a:stretch/>
                  </pic:blipFill>
                  <pic:spPr>
                    <a:xfrm>
                      <a:ext cx="389890" cy="5549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3113405</wp:posOffset>
                </wp:positionH>
                <wp:positionV relativeFrom="paragraph">
                  <wp:posOffset>464185</wp:posOffset>
                </wp:positionV>
                <wp:extent cx="1283335" cy="100330"/>
                <wp:wrapNone/>
                <wp:docPr id="19" name="Shape 1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6"/>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45.15000000000001pt;margin-top:36.550000000000004pt;width:101.05pt;height:7.9000000000000004pt;z-index:251657729;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6"/>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147320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pt;margin-top:11.6pt;width:135.59999999999999pt;height:20.40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6" w:name="bookmark6"/>
      <w:r>
        <w:rPr>
          <w:rStyle w:val="CharStyle23"/>
        </w:rPr>
        <w:t>А.А.Магер</w:t>
      </w:r>
      <w:bookmarkEnd w:id="6"/>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Магер Александр Александрович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43F785D30FB94A7A3626FEF2EC4D9803</w:t>
      </w:r>
    </w:p>
    <w:p>
      <w:pPr>
        <w:pStyle w:val="Style28"/>
        <w:keepNext w:val="0"/>
        <w:keepLines w:val="0"/>
        <w:widowControl w:val="0"/>
        <w:shd w:val="clear" w:color="auto" w:fill="auto"/>
        <w:bidi w:val="0"/>
        <w:spacing w:before="0" w:after="280" w:line="240" w:lineRule="auto"/>
        <w:ind w:right="0" w:firstLine="0"/>
        <w:jc w:val="left"/>
      </w:pPr>
      <w:r>
        <w:rPr>
          <w:rStyle w:val="CharStyle29"/>
        </w:rPr>
        <w:t xml:space="preserve">Действителен с 21.04.2025 </w:t>
      </w:r>
      <w:r>
        <w:rPr>
          <w:rStyle w:val="CharStyle29"/>
          <w:color w:val="5E5E5E"/>
        </w:rPr>
        <w:t xml:space="preserve">по </w:t>
      </w:r>
      <w:r>
        <w:rPr>
          <w:rStyle w:val="CharStyle29"/>
        </w:rPr>
        <w:t>15.07.2026</w:t>
      </w:r>
    </w:p>
    <w:p>
      <w:pPr>
        <w:pStyle w:val="Style22"/>
        <w:keepNext/>
        <w:keepLines/>
        <w:widowControl w:val="0"/>
        <w:shd w:val="clear" w:color="auto" w:fill="auto"/>
        <w:bidi w:val="0"/>
        <w:spacing w:before="0" w:after="390" w:line="240" w:lineRule="auto"/>
        <w:ind w:left="0" w:right="0" w:firstLine="0"/>
        <w:jc w:val="right"/>
      </w:pPr>
      <w:r>
        <w:drawing>
          <wp:anchor distT="0" distB="0" distL="114300" distR="1900555" simplePos="0" relativeHeight="125829386" behindDoc="0" locked="0" layoutInCell="1" allowOverlap="1">
            <wp:simplePos x="0" y="0"/>
            <wp:positionH relativeFrom="page">
              <wp:posOffset>2653030</wp:posOffset>
            </wp:positionH>
            <wp:positionV relativeFrom="paragraph">
              <wp:posOffset>63500</wp:posOffset>
            </wp:positionV>
            <wp:extent cx="359410" cy="39624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4"/>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151765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pt;margin-top:11.950000000000001pt;width:135.59999999999999pt;height:20.400000000000002pt;z-index:25165773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8" w:name="bookmark8"/>
      <w:r>
        <w:rPr>
          <w:rStyle w:val="CharStyle23"/>
        </w:rPr>
        <w:t>А.А.Васильев</w:t>
      </w:r>
      <w:bookmarkEnd w:id="8"/>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rStyle w:val="CharStyle29"/>
          <w:color w:val="FFFFFF"/>
          <w:sz w:val="11"/>
          <w:szCs w:val="11"/>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rStyle w:val="CharStyle29"/>
        </w:rPr>
        <w:t xml:space="preserve">Кому выдан: </w:t>
      </w:r>
      <w:r>
        <w:rPr>
          <w:rStyle w:val="CharStyle29"/>
          <w:color w:val="000000"/>
          <w:sz w:val="11"/>
          <w:szCs w:val="11"/>
        </w:rPr>
        <w:t>Васильев Александр Анатольевич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7BF98D842188A4B4C3F8EAD54EE3400B</w:t>
      </w:r>
    </w:p>
    <w:p>
      <w:pPr>
        <w:pStyle w:val="Style28"/>
        <w:keepNext w:val="0"/>
        <w:keepLines w:val="0"/>
        <w:widowControl w:val="0"/>
        <w:shd w:val="clear" w:color="auto" w:fill="auto"/>
        <w:bidi w:val="0"/>
        <w:spacing w:before="0" w:after="100" w:line="240" w:lineRule="auto"/>
        <w:ind w:right="0" w:firstLine="0"/>
        <w:jc w:val="left"/>
      </w:pPr>
      <w:r>
        <w:rPr>
          <w:rStyle w:val="CharStyle29"/>
        </w:rPr>
        <w:t xml:space="preserve">Действителен с 09.07.2025 </w:t>
      </w:r>
      <w:r>
        <w:rPr>
          <w:rStyle w:val="CharStyle29"/>
          <w:color w:val="5E5E5E"/>
        </w:rPr>
        <w:t xml:space="preserve">по </w:t>
      </w:r>
      <w:r>
        <w:rPr>
          <w:rStyle w:val="CharStyle29"/>
        </w:rPr>
        <w:t>02.10.2026</w:t>
      </w:r>
    </w:p>
    <w:sectPr>
      <w:footnotePr>
        <w:pos w:val="pageBottom"/>
        <w:numFmt w:val="decimal"/>
        <w:numRestart w:val="continuous"/>
      </w:footnotePr>
      <w:type w:val="continuous"/>
      <w:pgSz w:w="11900" w:h="16840"/>
      <w:pgMar w:top="1110" w:right="584"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10010140</wp:posOffset>
              </wp:positionV>
              <wp:extent cx="658495" cy="128270"/>
              <wp:wrapNone/>
              <wp:docPr id="1" name="Shape 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2026-2938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100000000000001pt;margin-top:788.20000000000005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2026-2938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725170</wp:posOffset>
              </wp:positionH>
              <wp:positionV relativeFrom="page">
                <wp:posOffset>10010140</wp:posOffset>
              </wp:positionV>
              <wp:extent cx="658495" cy="128270"/>
              <wp:wrapNone/>
              <wp:docPr id="3" name="Shape 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2026-2938</w:t>
                          </w:r>
                        </w:p>
                      </w:txbxContent>
                    </wps:txbx>
                    <wps:bodyPr wrap="none" lIns="0" tIns="0" rIns="0" bIns="0">
                      <a:spAutoFit/>
                    </wps:bodyPr>
                  </wps:wsp>
                </a:graphicData>
              </a:graphic>
            </wp:anchor>
          </w:drawing>
        </mc:Choice>
        <mc:Fallback>
          <w:pict>
            <v:shape id="_x0000_s1029" type="#_x0000_t202" style="position:absolute;margin-left:57.100000000000001pt;margin-top:788.20000000000005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2026-2938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9851390</wp:posOffset>
              </wp:positionV>
              <wp:extent cx="658495" cy="128270"/>
              <wp:wrapNone/>
              <wp:docPr id="5" name="Shape 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2026-2938</w:t>
                          </w:r>
                        </w:p>
                      </w:txbxContent>
                    </wps:txbx>
                    <wps:bodyPr wrap="none" lIns="0" tIns="0" rIns="0" bIns="0">
                      <a:spAutoFit/>
                    </wps:bodyPr>
                  </wps:wsp>
                </a:graphicData>
              </a:graphic>
            </wp:anchor>
          </w:drawing>
        </mc:Choice>
        <mc:Fallback>
          <w:pict>
            <v:shape id="_x0000_s1031" type="#_x0000_t202" style="position:absolute;margin-left:56.75pt;margin-top:775.70000000000005pt;width:51.850000000000001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2026-2938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725170</wp:posOffset>
              </wp:positionH>
              <wp:positionV relativeFrom="page">
                <wp:posOffset>10010140</wp:posOffset>
              </wp:positionV>
              <wp:extent cx="658495" cy="128270"/>
              <wp:wrapNone/>
              <wp:docPr id="9" name="Shape 9"/>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2026-2938</w:t>
                          </w:r>
                        </w:p>
                      </w:txbxContent>
                    </wps:txbx>
                    <wps:bodyPr wrap="none" lIns="0" tIns="0" rIns="0" bIns="0">
                      <a:spAutoFit/>
                    </wps:bodyPr>
                  </wps:wsp>
                </a:graphicData>
              </a:graphic>
            </wp:anchor>
          </w:drawing>
        </mc:Choice>
        <mc:Fallback>
          <w:pict>
            <v:shape id="_x0000_s1035" type="#_x0000_t202" style="position:absolute;margin-left:57.100000000000001pt;margin-top:788.20000000000005pt;width:51.850000000000001pt;height:10.1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2026-2938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3"/>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3">
    <w:name w:val="Heading #1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19">
    <w:name w:val="Body text (2)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Heading #2_"/>
    <w:basedOn w:val="DefaultParagraphFont"/>
    <w:link w:val="Style22"/>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Picture caption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29">
    <w:name w:val="Body text (3)_"/>
    <w:basedOn w:val="DefaultParagraphFont"/>
    <w:link w:val="Style28"/>
    <w:rPr>
      <w:rFonts w:ascii="Arial" w:eastAsia="Arial" w:hAnsi="Arial" w:cs="Arial"/>
      <w:b w:val="0"/>
      <w:bCs w:val="0"/>
      <w:i w:val="0"/>
      <w:iCs w:val="0"/>
      <w:smallCaps w:val="0"/>
      <w:strike w:val="0"/>
      <w:color w:val="424242"/>
      <w:sz w:val="12"/>
      <w:szCs w:val="12"/>
      <w:u w:val="none"/>
    </w:rPr>
  </w:style>
  <w:style w:type="paragraph" w:customStyle="1" w:styleId="Style2">
    <w:name w:val="Other"/>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180" w:line="29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12">
    <w:name w:val="Heading #1"/>
    <w:basedOn w:val="Normal"/>
    <w:link w:val="CharStyle13"/>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Body text (2)"/>
    <w:basedOn w:val="Normal"/>
    <w:link w:val="CharStyle19"/>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Heading #2"/>
    <w:basedOn w:val="Normal"/>
    <w:link w:val="CharStyle23"/>
    <w:pPr>
      <w:widowControl w:val="0"/>
      <w:shd w:val="clear" w:color="auto" w:fill="auto"/>
      <w:spacing w:after="25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Picture caption"/>
    <w:basedOn w:val="Normal"/>
    <w:link w:val="CharStyle2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8">
    <w:name w:val="Body text (3)"/>
    <w:basedOn w:val="Normal"/>
    <w:link w:val="CharStyle29"/>
    <w:pPr>
      <w:widowControl w:val="0"/>
      <w:shd w:val="clear" w:color="auto" w:fill="auto"/>
      <w:spacing w:after="50"/>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png"/><Relationship Id="rId9" Type="http://schemas.openxmlformats.org/officeDocument/2006/relationships/image" Target="media/image1.png" TargetMode="Externa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image" Target="media/image3.jpeg"/><Relationship Id="rId15" Type="http://schemas.openxmlformats.org/officeDocument/2006/relationships/image" Target="media/image3.jpeg" TargetMode="External"/></Relationships>
</file>