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72210" distR="1149985" simplePos="0" relativeHeight="125829378" behindDoc="0" locked="0" layoutInCell="1" allowOverlap="1">
            <wp:simplePos x="0" y="0"/>
            <wp:positionH relativeFrom="page">
              <wp:posOffset>1776095</wp:posOffset>
            </wp:positionH>
            <wp:positionV relativeFrom="paragraph">
              <wp:posOffset>12700</wp:posOffset>
            </wp:positionV>
            <wp:extent cx="524510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718185</wp:posOffset>
                </wp:positionH>
                <wp:positionV relativeFrom="paragraph">
                  <wp:posOffset>628650</wp:posOffset>
                </wp:positionV>
                <wp:extent cx="2614930" cy="273431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4930" cy="273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Воронежской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пр-кт Революции, 21, г. Воронеж, 394036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тел./факс+7 (473) 255-92-44</w:t>
                              <w:br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to36@fas.gov.ru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4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решение № 036/06/105-509/2026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550000000000004pt;margin-top:49.5pt;width:205.90000000000001pt;height:215.30000000000001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Федеральной антимонопольной службы</w:t>
                        <w:br/>
                        <w:t>по Воронежской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пр-кт Революции, 21, г. Воронеж, 394036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тел./факс+7 (473) 255-92-44</w:t>
                        <w:br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to36@fas.gov.ru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4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ab/>
                        <w:t xml:space="preserve"> № 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На №  от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решение № 036/06/105-509/2026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718185</wp:posOffset>
            </wp:positionH>
            <wp:positionV relativeFrom="paragraph">
              <wp:posOffset>9265920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0" w:right="0" w:firstLine="0"/>
        <w:jc w:val="both"/>
      </w:pPr>
      <w:r>
        <w:rPr>
          <w:rStyle w:val="CharStyle9"/>
        </w:rPr>
        <w:t>ФЕДЕРАЛЬНОЕ ГОСУДАРСТВЕННОЕ БЮДЖЕТНОЕ НАУЧНОЕ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0" w:right="0" w:firstLine="0"/>
        <w:jc w:val="left"/>
      </w:pPr>
      <w:r>
        <w:rPr>
          <w:rStyle w:val="CharStyle9"/>
        </w:rPr>
        <w:t>УЧРЕЖДЕНИЕ "ВСЕРОССИЙСКИЙ НАУЧНО-ИССЛЕДОВАТЕЛЬСКИЙ ИНСТИТУТ САХАРНОЙ СВЁКЛЫ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00" w:right="0" w:firstLine="0"/>
        <w:jc w:val="left"/>
      </w:pPr>
      <w:r>
        <w:rPr>
          <w:rStyle w:val="CharStyle9"/>
        </w:rPr>
        <w:t xml:space="preserve">САХАРА ИМЕНИ А.Л. МАЗЛУМОВА" 396030, Воронежская область, Рамонский район, п. Вниисс, д. 86 </w:t>
      </w:r>
      <w:r>
        <w:fldChar w:fldCharType="begin"/>
      </w:r>
      <w:r>
        <w:rPr/>
        <w:instrText> HYPERLINK "mailto:vniiss_torgi@mail.ru" </w:instrText>
      </w:r>
      <w:r>
        <w:fldChar w:fldCharType="separate"/>
      </w:r>
      <w:r>
        <w:rPr>
          <w:rStyle w:val="CharStyle9"/>
          <w:lang w:val="en-US" w:eastAsia="en-US"/>
        </w:rPr>
        <w:t>vniiss_torgi@mail.ru</w:t>
      </w:r>
      <w:r>
        <w:fldChar w:fldCharType="end"/>
      </w:r>
      <w:r>
        <w:rPr>
          <w:rStyle w:val="CharStyle9"/>
          <w:lang w:val="en-US" w:eastAsia="en-US"/>
        </w:rPr>
        <w:t xml:space="preserve">, </w:t>
      </w:r>
      <w:r>
        <w:fldChar w:fldCharType="begin"/>
      </w:r>
      <w:r>
        <w:rPr/>
        <w:instrText> HYPERLINK "mailto:vniiss@mail.ru" </w:instrText>
      </w:r>
      <w:r>
        <w:fldChar w:fldCharType="separate"/>
      </w:r>
      <w:r>
        <w:rPr>
          <w:rStyle w:val="CharStyle9"/>
          <w:lang w:val="en-US" w:eastAsia="en-US"/>
        </w:rPr>
        <w:t>vniiss@mail.ru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1000" w:right="0" w:firstLine="0"/>
        <w:jc w:val="left"/>
      </w:pPr>
      <w:r>
        <w:rPr>
          <w:rStyle w:val="CharStyle9"/>
        </w:rPr>
        <w:t xml:space="preserve">ВЕРДЯН АРТЕМ МАМИКОНОВИЧ 394062, ВОРОНЕЖСКАЯ ОБЛАСТЬ, г.о. ГОРОД ВОРОНЕЖ, Г. ВОРОНЕЖ, УЛ. ПУТИЛОВСКАЯ, Д. 3, КВ. 71 </w:t>
      </w:r>
      <w:r>
        <w:fldChar w:fldCharType="begin"/>
      </w:r>
      <w:r>
        <w:rPr/>
        <w:instrText> HYPERLINK "mailto:m.89515408400@mail.ru" </w:instrText>
      </w:r>
      <w:r>
        <w:fldChar w:fldCharType="separate"/>
      </w:r>
      <w:r>
        <w:rPr>
          <w:rStyle w:val="CharStyle9"/>
          <w:lang w:val="en-US" w:eastAsia="en-US"/>
        </w:rPr>
        <w:t>m.89515408400@mail.ru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9"/>
        </w:rPr>
        <w:t>Р Е Ш Е Н И 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center"/>
      </w:pPr>
      <w:r>
        <w:rPr>
          <w:rStyle w:val="CharStyle9"/>
        </w:rPr>
        <w:t>по результатам рассмотрения жалобы индивидуального предпринимателя Вердян</w:t>
        <w:br/>
        <w:t>Артема Мамиконовича на действия комиссии Федерального государственного</w:t>
        <w:br/>
        <w:t>бюджетного научного учреждения «Всероссийский научно-исследовательский</w:t>
        <w:br/>
        <w:t>институт сахарной свёклы и сахара имени А.Л. Мазлумова» при проведении</w:t>
        <w:br/>
        <w:t>открытого конкурса в электронной форме (номер извещения 0331100009726000011)</w:t>
        <w:br/>
        <w:t>(Дело № 036/06/105-509/2026)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045" w:val="left"/>
        </w:tabs>
        <w:bidi w:val="0"/>
        <w:spacing w:before="0" w:after="340" w:line="259" w:lineRule="auto"/>
        <w:ind w:left="0" w:right="0" w:firstLine="0"/>
        <w:jc w:val="both"/>
      </w:pPr>
      <w:r>
        <w:rPr>
          <w:rStyle w:val="CharStyle9"/>
        </w:rPr>
        <w:t>07.05.2026</w:t>
        <w:tab/>
        <w:t>г. Воронеж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rStyle w:val="CharStyle9"/>
        </w:rPr>
        <w:t>Резолютивная часть объявлена: 07.05.2026 года.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59" w:lineRule="auto"/>
        <w:ind w:left="0" w:right="0" w:firstLine="0"/>
        <w:jc w:val="center"/>
      </w:pPr>
      <w:r>
        <w:rPr>
          <w:rStyle w:val="CharStyle9"/>
        </w:rPr>
        <w:t>В полном объеме решение изготовлено 13.05.2026 года.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Михин С.В. – председатель Комиссии, заместитель руководителя управления;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Башкирова А.Р. – член Комиссии, государственный инспектор отдела контроля закупок;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Гуськова У.А. – член Комиссии, государственный инспектор отдела контроля закупок;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5" w:val="left"/>
        </w:tabs>
        <w:bidi w:val="0"/>
        <w:spacing w:before="0" w:after="340" w:line="240" w:lineRule="auto"/>
        <w:ind w:left="0" w:right="0" w:firstLine="720"/>
        <w:jc w:val="both"/>
      </w:pPr>
      <w:r>
        <w:rPr>
          <w:rStyle w:val="CharStyle9"/>
        </w:rPr>
        <w:t>отсутствие представителей заявителя индивидуального предпринимателя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Вердян Артема Мамиконовича (о месте и времени рассмотрения дела сторона уведомлена надлежащим образом, посредством ЕИС),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при участии представителей Федерального государственного бюджетного научного учреждения «Всероссийский научно-исследовательский институт сахарной свёклы и сахара имени А.Л. Мазлумова»: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Подпориновой Г.К. (приказ </w:t>
      </w:r>
      <w:r>
        <w:rPr>
          <w:rStyle w:val="CharStyle9"/>
          <w:lang w:val="en-US" w:eastAsia="en-US"/>
        </w:rPr>
        <w:t xml:space="preserve">№ </w:t>
      </w:r>
      <w:r>
        <w:rPr>
          <w:rStyle w:val="CharStyle9"/>
        </w:rPr>
        <w:t xml:space="preserve">256-кр от </w:t>
      </w:r>
      <w:r>
        <w:rPr>
          <w:rStyle w:val="CharStyle9"/>
          <w:lang w:val="en-US" w:eastAsia="en-US"/>
        </w:rPr>
        <w:t>01.10.2025),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рассмотрев жалобу индивидуального предпринимателя Вердян Артема Мамиконовича на действия Федерального государственного бюджетного научного учреждения «Всероссийский научно-исследовательский институт сахарной свёклы и сахара имени А.Л. Мазлумова» при проведении открытого конкурса в электронной форме (номер извещения </w:t>
      </w:r>
      <w:r>
        <w:rPr>
          <w:rStyle w:val="CharStyle9"/>
          <w:lang w:val="en-US" w:eastAsia="en-US"/>
        </w:rPr>
        <w:t>0331100009726000011),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</w:rPr>
        <w:t>У С Т А Н О В И Л 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Воронежское УФАС России) поступила жалоба индивидуального предпринимателя Вердян Артема Мамиконовича на действия комиссии Федерального государственного бюджетного научного учреждения «Всероссийский научно-исследовательский институт сахарной свёклы и сахара имени А.Л. Мазлумова» при проведении открытого конкурса в электронной форме (номер извещения </w:t>
      </w:r>
      <w:r>
        <w:rPr>
          <w:rStyle w:val="CharStyle9"/>
          <w:lang w:val="en-US" w:eastAsia="en-US"/>
        </w:rPr>
        <w:t>0331100009726000011).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Согласно доводам жалобы, комиссия по осуществлению закупок при проведении открытого конкурса в электронной форме неправомерно отклонила заявку Заявителя.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Заказчиком представлены возражения на жалобу Заявителя. Из представленных возражений следует, что Заказчик считает доводы жалобы необоснованными и не подлежащими удовлетворению.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Изучив материалы дела, предоставленные доказательства, а также осуществив внеплановую проверку настоящей закупки, Комиссия Воронежского УФАС России пришла к следующим выводам.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  <w:lang w:val="en-US" w:eastAsia="en-US"/>
        </w:rPr>
        <w:t xml:space="preserve">30.03.2026 </w:t>
      </w:r>
      <w:r>
        <w:rPr>
          <w:rStyle w:val="CharStyle9"/>
        </w:rPr>
        <w:t xml:space="preserve">года в Единой информационной системе размещено Изменение извещения о проведении открытого конкурса в электронной форме </w:t>
      </w:r>
      <w:r>
        <w:rPr>
          <w:rStyle w:val="CharStyle9"/>
          <w:lang w:val="en-US" w:eastAsia="en-US"/>
        </w:rPr>
        <w:t xml:space="preserve">№ 0331100009726000011 </w:t>
      </w:r>
      <w:r>
        <w:rPr>
          <w:rStyle w:val="CharStyle9"/>
        </w:rPr>
        <w:t xml:space="preserve">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Извещение).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Начальная (максимальная) цена контракта составляет </w:t>
      </w:r>
      <w:r>
        <w:rPr>
          <w:rStyle w:val="CharStyle9"/>
          <w:lang w:val="en-US" w:eastAsia="en-US"/>
        </w:rPr>
        <w:t xml:space="preserve">26 816 330,00 </w:t>
      </w:r>
      <w:r>
        <w:rPr>
          <w:rStyle w:val="CharStyle9"/>
        </w:rPr>
        <w:t>руб.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Предметом рассматриваемой закупки является капитальный ремонт зданий и сооружений на площадках ФГБНУ «ВНИИСС имени А.Л. Мазлумова». Склад селекции </w:t>
      </w:r>
      <w:r>
        <w:rPr>
          <w:rStyle w:val="CharStyle9"/>
          <w:lang w:val="en-US" w:eastAsia="en-US"/>
        </w:rPr>
        <w:t>2.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Определение поставщика (подрядчика, исполнителя) осуществляется путём проведения открытого конкурса в электронной форме на проведение работ по строительству, реконструкции, кап.ремонту, сносу объекта кап.строительства в соответствии с п.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 xml:space="preserve">ч.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Закупка вне рамок национального проекта, закупка за счет собственных средств организации.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ходе анализа представленных доказательств сторон, Комиссия Воронежского УФАС России приходит к следующему.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ч.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и документы, предусмотренные ст.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>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п. </w:t>
      </w:r>
      <w:r>
        <w:rPr>
          <w:rStyle w:val="CharStyle9"/>
          <w:lang w:val="en-US" w:eastAsia="en-US"/>
        </w:rPr>
        <w:t xml:space="preserve">11 </w:t>
      </w:r>
      <w:r>
        <w:rPr>
          <w:rStyle w:val="CharStyle9"/>
        </w:rPr>
        <w:t xml:space="preserve">ч.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Согласно доводам жалобы о неправомерном отклонении заявки участника.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31 </w:t>
      </w:r>
      <w:r>
        <w:rPr>
          <w:rStyle w:val="CharStyle9"/>
        </w:rPr>
        <w:t xml:space="preserve">Закона о контрактной системе при применении конкурентных способов, заказчик устанавливает единые требования к участникам закупки, а именно соответствие требованиям, установленным в соответствии с законодательством РФ к лицам, осуществляющим поставку товара, выполнение работы, оказание услуги, являющихся объектом закупки. Единые требования к участникам закупок в соответствии с утвержденной формой извещения, указываются в п.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извещения.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Пунктом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Извещения в разделе «Преимущества, требования к участникам» и разделе «Требования к участникам» заказчиком было установлено следующее требование к участникам закупки: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  <w:lang w:val="en-US" w:eastAsia="en-US"/>
        </w:rPr>
        <w:t xml:space="preserve">2. </w:t>
      </w:r>
      <w:r>
        <w:rPr>
          <w:rStyle w:val="CharStyle9"/>
        </w:rPr>
        <w:t xml:space="preserve">Наличие у Подрядчика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сооружений: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Выполнение работ по огнезащите материалов, изделий и конструкций.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Выполнение работ по огнезащите материалов, изделий и конструкций входит в перечень работ (услуг), составляющих деятельность по монтажу, техническому обслуживанию и ремонту средств обеспечения пожарной безопасности зданий и сооружений, и подлежит лицензированию в соответствии с Федеральным законом от </w:t>
      </w:r>
      <w:r>
        <w:rPr>
          <w:rStyle w:val="CharStyle9"/>
          <w:lang w:val="en-US" w:eastAsia="en-US"/>
        </w:rPr>
        <w:t xml:space="preserve">04.05.2011 № </w:t>
      </w:r>
      <w:r>
        <w:rPr>
          <w:rStyle w:val="CharStyle9"/>
        </w:rPr>
        <w:t xml:space="preserve">99-ФЗ «О лицензировании отдельных видов деятельности» и Положением о лицензировании, утвержденным постановлением Правительства РФ от </w:t>
      </w:r>
      <w:r>
        <w:rPr>
          <w:rStyle w:val="CharStyle9"/>
          <w:lang w:val="en-US" w:eastAsia="en-US"/>
        </w:rPr>
        <w:t>28.07.2020 № 1128.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Следовательно, требование о наличии такой лицензии является законодательным условием допуска к выполнению соответствующих работ.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протоколу рассмотрения и оценки вторых частей заявок от </w:t>
      </w:r>
      <w:r>
        <w:rPr>
          <w:rStyle w:val="CharStyle9"/>
          <w:lang w:val="en-US" w:eastAsia="en-US"/>
        </w:rPr>
        <w:t xml:space="preserve">29.04.2026, </w:t>
      </w:r>
      <w:r>
        <w:rPr>
          <w:rStyle w:val="CharStyle9"/>
        </w:rPr>
        <w:t>комиссия заказчика признала не соответствующими требованиям извещения три заявки, включая заявку Заявителя, ввиду отсутствия у участника вышеуказанной лицензии.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Таким образом, на основании вышеизложенного, Комиссией Воронежского УФАС России установлено, что при проведении рассматриваемого открытого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конкурса в электронной форме, Заказчиком соблюдены требования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изложенного, руководствуясь ч.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106 </w:t>
      </w:r>
      <w:r>
        <w:rPr>
          <w:rStyle w:val="CharStyle9"/>
        </w:rPr>
        <w:t xml:space="preserve">Закона </w:t>
      </w:r>
      <w:r>
        <w:rPr>
          <w:rStyle w:val="CharStyle9"/>
          <w:lang w:val="en-US" w:eastAsia="en-US"/>
        </w:rPr>
        <w:t xml:space="preserve">№ </w:t>
      </w:r>
      <w:r>
        <w:rPr>
          <w:rStyle w:val="CharStyle9"/>
        </w:rPr>
        <w:t>44-ФЗ, Комиссия Воронежского УФАС России,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</w:rPr>
        <w:t>Р Е Ш И Л 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 xml:space="preserve">Признать жалобу индивидуального предпринимателя Вердян Артема Мамиконовича на действия комиссии Федерального государственного бюджетного научного учреждения «Всероссийский научно-исследовательский институт сахарной свёклы и сахара имени А.Л. Мазлумова» при проведении открытого конкурса в электронной форме (номер извещения </w:t>
      </w:r>
      <w:r>
        <w:rPr>
          <w:rStyle w:val="CharStyle9"/>
          <w:lang w:val="en-US" w:eastAsia="en-US"/>
        </w:rPr>
        <w:t xml:space="preserve">0331100009726000011) </w:t>
      </w:r>
      <w:r>
        <w:rPr>
          <w:rStyle w:val="CharStyle9"/>
        </w:rPr>
        <w:t>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2" w:right="542" w:bottom="1327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673100" distB="21653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673100</wp:posOffset>
                </wp:positionV>
                <wp:extent cx="1825625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53.pt;width:143.75pt;height:19.900000000000002pt;z-index:-125829371;mso-wrap-distance-left:0;mso-wrap-distance-top:53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46125" distB="0" distL="0" distR="1786255" simplePos="0" relativeHeight="125829384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746125</wp:posOffset>
            </wp:positionV>
            <wp:extent cx="359410" cy="39624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834390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25pt;margin-top:65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73100" distB="216535" distL="0" distR="0" simplePos="0" relativeHeight="125829385" behindDoc="0" locked="0" layoutInCell="1" allowOverlap="1">
                <wp:simplePos x="0" y="0"/>
                <wp:positionH relativeFrom="page">
                  <wp:posOffset>6259195</wp:posOffset>
                </wp:positionH>
                <wp:positionV relativeFrom="paragraph">
                  <wp:posOffset>673100</wp:posOffset>
                </wp:positionV>
                <wp:extent cx="92646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6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С.В. Михин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2.85000000000002pt;margin-top:53.pt;width:72.950000000000003pt;height:19.900000000000002pt;z-index:-125829368;mso-wrap-distance-left:0;mso-wrap-distance-top:53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С.В. Михин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1"/>
          <w:szCs w:val="11"/>
        </w:rPr>
      </w:pPr>
      <w:r>
        <w:rPr>
          <w:rStyle w:val="CharStyle17"/>
          <w:color w:val="FFFFFF"/>
          <w:sz w:val="11"/>
          <w:szCs w:val="11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  <w:sz w:val="11"/>
          <w:szCs w:val="11"/>
        </w:rPr>
        <w:t>Михин Сергей Васильевич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0098F8037C7834222406CCA8FB2C73CA35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7"/>
        </w:rPr>
        <w:t xml:space="preserve">Действителен с 02.04.2026 </w:t>
      </w:r>
      <w:r>
        <w:rPr>
          <w:rStyle w:val="CharStyle17"/>
          <w:color w:val="5E5E5E"/>
        </w:rPr>
        <w:t xml:space="preserve">по </w:t>
      </w:r>
      <w:r>
        <w:rPr>
          <w:rStyle w:val="CharStyle17"/>
        </w:rPr>
        <w:t>26.06.2027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9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45000000000002pt;margin-top:36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30000000000001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9"/>
        </w:rPr>
        <w:t>Башкирова А.Р.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  <w:sz w:val="11"/>
          <w:szCs w:val="11"/>
        </w:rPr>
        <w:t>Башкирова Анастасия Романовна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4FE3D4FC6DEBD554A3AED345029FF022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6128385</wp:posOffset>
                </wp:positionH>
                <wp:positionV relativeFrom="paragraph">
                  <wp:posOffset>266700</wp:posOffset>
                </wp:positionV>
                <wp:extent cx="1060450" cy="25019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Гуськова У.А.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2.55000000000001pt;margin-top:21.pt;width:83.5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Гуськова У.А.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7"/>
        </w:rPr>
        <w:t xml:space="preserve">Действителен с 21.04.2026 </w:t>
      </w:r>
      <w:r>
        <w:rPr>
          <w:rStyle w:val="CharStyle17"/>
          <w:color w:val="5E5E5E"/>
        </w:rPr>
        <w:t xml:space="preserve">по </w:t>
      </w:r>
      <w:r>
        <w:rPr>
          <w:rStyle w:val="CharStyle17"/>
        </w:rPr>
        <w:t>15.07.2027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3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1"/>
          <w:szCs w:val="11"/>
        </w:rPr>
      </w:pPr>
      <w:r>
        <w:rPr>
          <w:rStyle w:val="CharStyle17"/>
          <w:color w:val="FFFFFF"/>
          <w:sz w:val="11"/>
          <w:szCs w:val="11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  <w:sz w:val="11"/>
          <w:szCs w:val="11"/>
        </w:rPr>
        <w:t>Гуськова Ульяна Алексеевна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00C838BAE35A8F17E3C8A51AE0E53CC0C</w:t>
      </w:r>
      <w:r>
        <w:rPr>
          <w:rStyle w:val="CharStyle17"/>
          <w:lang w:val="en-US" w:eastAsia="en-US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r>
        <w:rPr>
          <w:rStyle w:val="CharStyle17"/>
        </w:rPr>
        <w:t xml:space="preserve">Действителен с 13.10.2025 </w:t>
      </w:r>
      <w:r>
        <w:rPr>
          <w:rStyle w:val="CharStyle17"/>
          <w:color w:val="5E5E5E"/>
        </w:rPr>
        <w:t xml:space="preserve">по </w:t>
      </w:r>
      <w:r>
        <w:rPr>
          <w:rStyle w:val="CharStyle17"/>
        </w:rPr>
        <w:t>06.01.2027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9989185</wp:posOffset>
              </wp:positionV>
              <wp:extent cx="658495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2026-3062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99999999999999pt;margin-top:786.55000000000007pt;width:51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2026-3062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9914255</wp:posOffset>
              </wp:positionV>
              <wp:extent cx="658495" cy="1098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2026-3062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0.64999999999998pt;width:51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2026-3062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Body text (5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8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Body text (5)"/>
    <w:basedOn w:val="Normal"/>
    <w:link w:val="CharStyle7"/>
    <w:pPr>
      <w:widowControl w:val="0"/>
      <w:shd w:val="clear" w:color="auto" w:fill="auto"/>
      <w:spacing w:after="3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