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77595" distR="1056005" simplePos="0" relativeHeight="125829378" behindDoc="0" locked="0" layoutInCell="1" allowOverlap="1">
            <wp:simplePos x="0" y="0"/>
            <wp:positionH relativeFrom="page">
              <wp:posOffset>1784350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821055</wp:posOffset>
                </wp:positionH>
                <wp:positionV relativeFrom="paragraph">
                  <wp:posOffset>622300</wp:posOffset>
                </wp:positionV>
                <wp:extent cx="2416810" cy="1837690"/>
                <wp:wrapSquare wrapText="right"/>
                <wp:docPr id="3" name="Shape 3"/>
                <a:graphic xmlns:a="http://schemas.openxmlformats.org/drawingml/2006/main">
                  <a:graphicData uri="http://schemas.microsoft.com/office/word/2010/wordprocessingShape">
                    <wps:wsp>
                      <wps:cNvSpPr txBox="1"/>
                      <wps:spPr>
                        <a:xfrm>
                          <a:ext cx="2416810"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5.05.2026</w:t>
                            </w:r>
                            <w:r>
                              <w:fldChar w:fldCharType="end"/>
                            </w:r>
                            <w:r>
                              <w:rPr>
                                <w:rStyle w:val="CharStyle7"/>
                                <w:sz w:val="30"/>
                                <w:szCs w:val="30"/>
                              </w:rPr>
                              <w:tab/>
                              <w:t>№ 20514/26</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4.650000000000006pt;margin-top:49.pt;width:190.30000000000001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200" w:line="240" w:lineRule="auto"/>
                        <w:ind w:left="0" w:right="0" w:firstLine="0"/>
                        <w:jc w:val="left"/>
                        <w:rPr>
                          <w:sz w:val="30"/>
                          <w:szCs w:val="30"/>
                        </w:rPr>
                      </w:pPr>
                      <w:r>
                        <w:rPr>
                          <w:rStyle w:val="CharStyle7"/>
                          <w:sz w:val="30"/>
                          <w:szCs w:val="30"/>
                        </w:rPr>
                        <w:t>1</w:t>
                      </w:r>
                      <w:r>
                        <w:fldChar w:fldCharType="begin"/>
                      </w:r>
                      <w:r>
                        <w:rPr/>
                        <w:instrText> HYPERLINK "file://f207ca94-a13c-4ba0-b72d-f018c9eed8f1/" </w:instrText>
                      </w:r>
                      <w:r>
                        <w:fldChar w:fldCharType="separate"/>
                      </w:r>
                      <w:r>
                        <w:rPr>
                          <w:rStyle w:val="CharStyle7"/>
                          <w:sz w:val="30"/>
                          <w:szCs w:val="30"/>
                        </w:rPr>
                        <w:t>5.05.2026</w:t>
                      </w:r>
                      <w:r>
                        <w:fldChar w:fldCharType="end"/>
                      </w:r>
                      <w:r>
                        <w:rPr>
                          <w:rStyle w:val="CharStyle7"/>
                          <w:sz w:val="30"/>
                          <w:szCs w:val="30"/>
                        </w:rPr>
                        <w:tab/>
                        <w:t>№ 20514/26</w:t>
                      </w:r>
                    </w:p>
                  </w:txbxContent>
                </v:textbox>
                <w10:wrap type="square" side="right" anchorx="page"/>
              </v:shape>
            </w:pict>
          </mc:Fallback>
        </mc:AlternateContent>
      </w:r>
    </w:p>
    <w:p>
      <w:pPr>
        <w:pStyle w:val="Style6"/>
        <w:keepNext w:val="0"/>
        <w:keepLines w:val="0"/>
        <w:widowControl w:val="0"/>
        <w:shd w:val="clear" w:color="auto" w:fill="auto"/>
        <w:bidi w:val="0"/>
        <w:spacing w:before="0" w:after="0" w:line="240" w:lineRule="auto"/>
        <w:ind w:left="0" w:right="0" w:firstLine="360"/>
        <w:jc w:val="both"/>
      </w:pPr>
      <w:r>
        <w:rPr>
          <w:rStyle w:val="CharStyle7"/>
        </w:rPr>
        <w:t>ФГБУ «НМИЦ ТО им. Н.Н. Приорова»</w:t>
      </w:r>
    </w:p>
    <w:p>
      <w:pPr>
        <w:pStyle w:val="Style6"/>
        <w:keepNext w:val="0"/>
        <w:keepLines w:val="0"/>
        <w:widowControl w:val="0"/>
        <w:shd w:val="clear" w:color="auto" w:fill="auto"/>
        <w:bidi w:val="0"/>
        <w:spacing w:before="0" w:after="0" w:line="240" w:lineRule="auto"/>
        <w:ind w:left="0" w:right="0" w:firstLine="360"/>
        <w:jc w:val="both"/>
      </w:pPr>
      <w:r>
        <w:rPr>
          <w:rStyle w:val="CharStyle7"/>
        </w:rPr>
        <w:t>Минздрава России</w:t>
      </w:r>
    </w:p>
    <w:p>
      <w:pPr>
        <w:pStyle w:val="Style6"/>
        <w:keepNext w:val="0"/>
        <w:keepLines w:val="0"/>
        <w:widowControl w:val="0"/>
        <w:shd w:val="clear" w:color="auto" w:fill="auto"/>
        <w:bidi w:val="0"/>
        <w:spacing w:before="0" w:after="280" w:line="240" w:lineRule="auto"/>
        <w:ind w:left="0" w:right="0" w:firstLine="360"/>
        <w:jc w:val="both"/>
      </w:pPr>
      <w:r>
        <w:fldChar w:fldCharType="begin"/>
      </w:r>
      <w:r>
        <w:rPr/>
        <w:instrText> HYPERLINK "mailto:zakupki@cito-priorov.ru" </w:instrText>
      </w:r>
      <w:r>
        <w:fldChar w:fldCharType="separate"/>
      </w:r>
      <w:r>
        <w:rPr>
          <w:rStyle w:val="CharStyle7"/>
          <w:lang w:val="en-US" w:eastAsia="en-US"/>
        </w:rPr>
        <w:t>zakupki@cito-priorov.ru</w:t>
      </w:r>
      <w:r>
        <w:fldChar w:fldCharType="end"/>
      </w:r>
    </w:p>
    <w:p>
      <w:pPr>
        <w:pStyle w:val="Style6"/>
        <w:keepNext w:val="0"/>
        <w:keepLines w:val="0"/>
        <w:widowControl w:val="0"/>
        <w:shd w:val="clear" w:color="auto" w:fill="auto"/>
        <w:bidi w:val="0"/>
        <w:spacing w:before="0" w:after="0" w:line="240" w:lineRule="auto"/>
        <w:ind w:left="0" w:right="0" w:firstLine="360"/>
        <w:jc w:val="both"/>
      </w:pPr>
      <w:r>
        <w:rPr>
          <w:rStyle w:val="CharStyle7"/>
        </w:rPr>
        <w:t>ООО «Мирра Дом»</w:t>
      </w:r>
    </w:p>
    <w:p>
      <w:pPr>
        <w:pStyle w:val="Style6"/>
        <w:keepNext w:val="0"/>
        <w:keepLines w:val="0"/>
        <w:widowControl w:val="0"/>
        <w:shd w:val="clear" w:color="auto" w:fill="auto"/>
        <w:bidi w:val="0"/>
        <w:spacing w:before="0" w:after="3000" w:line="240" w:lineRule="auto"/>
        <w:ind w:left="0" w:right="0" w:firstLine="360"/>
        <w:jc w:val="both"/>
      </w:pPr>
      <w:r>
        <w:fldChar w:fldCharType="begin"/>
      </w:r>
      <w:r>
        <w:rPr/>
        <w:instrText> HYPERLINK "mailto:info@mirra-dom.ru" </w:instrText>
      </w:r>
      <w:r>
        <w:fldChar w:fldCharType="separate"/>
      </w:r>
      <w:r>
        <w:rPr>
          <w:rStyle w:val="CharStyle7"/>
          <w:lang w:val="en-US" w:eastAsia="en-US"/>
        </w:rPr>
        <w:t>info@mirra-dom.ru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42"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№077/06/105-5854/2026 </w:t>
      </w:r>
      <w:r>
        <w:rPr>
          <w:rStyle w:val="CharStyle7"/>
          <w:b/>
          <w:bCs/>
        </w:rPr>
        <w:t>о нарушении</w:t>
        <w:br/>
        <w:t>законодательства о контрактной системе</w:t>
        <w:br/>
      </w:r>
      <w:r>
        <w:rPr>
          <w:rStyle w:val="CharStyle7"/>
          <w:b/>
          <w:bCs/>
          <w:lang w:val="en-US" w:eastAsia="en-US"/>
        </w:rPr>
        <w:t>12.05.2026</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Председательствующего </w:t>
      </w:r>
      <w:r>
        <w:rPr>
          <w:rStyle w:val="CharStyle7"/>
          <w:lang w:val="en-US" w:eastAsia="en-US"/>
        </w:rPr>
        <w:t xml:space="preserve">- </w:t>
      </w:r>
      <w:r>
        <w:rPr>
          <w:rStyle w:val="CharStyle7"/>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Гелмутдиновой,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ООО «Мирра Дом»: М.А. Строевой (по доверенности </w:t>
      </w:r>
      <w:r>
        <w:rPr>
          <w:rStyle w:val="CharStyle7"/>
          <w:lang w:val="en-US" w:eastAsia="en-US"/>
        </w:rPr>
        <w:t xml:space="preserve">№ </w:t>
      </w:r>
      <w:r>
        <w:rPr>
          <w:rStyle w:val="CharStyle7"/>
        </w:rPr>
        <w:t xml:space="preserve">б/н от </w:t>
      </w:r>
      <w:r>
        <w:rPr>
          <w:rStyle w:val="CharStyle7"/>
          <w:lang w:val="en-US" w:eastAsia="en-US"/>
        </w:rPr>
        <w:t>20.03.2026);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ФГБУ «НМИЦ ТО им. Н.Н. Приорова» Минздрава России: С.Г Изотовой (по доверенности </w:t>
      </w:r>
      <w:r>
        <w:rPr>
          <w:rStyle w:val="CharStyle7"/>
          <w:lang w:val="en-US" w:eastAsia="en-US"/>
        </w:rPr>
        <w:t xml:space="preserve">№ 86 </w:t>
      </w:r>
      <w:r>
        <w:rPr>
          <w:rStyle w:val="CharStyle7"/>
        </w:rPr>
        <w:t xml:space="preserve">от </w:t>
      </w:r>
      <w:r>
        <w:rPr>
          <w:rStyle w:val="CharStyle7"/>
          <w:lang w:val="en-US" w:eastAsia="en-US"/>
        </w:rPr>
        <w:t>30.12.2025);</w:t>
      </w:r>
    </w:p>
    <w:p>
      <w:pPr>
        <w:pStyle w:val="Style6"/>
        <w:keepNext w:val="0"/>
        <w:keepLines w:val="0"/>
        <w:widowControl w:val="0"/>
        <w:shd w:val="clear" w:color="auto" w:fill="auto"/>
        <w:bidi w:val="0"/>
        <w:spacing w:before="0" w:after="360" w:line="240" w:lineRule="auto"/>
        <w:ind w:left="0" w:right="0" w:firstLine="700"/>
        <w:jc w:val="both"/>
      </w:pPr>
      <w:r>
        <w:rPr>
          <w:rStyle w:val="CharStyle7"/>
        </w:rPr>
        <w:t xml:space="preserve">рассмотрев жалобу ООО «Мирра Дом» (далее </w:t>
      </w:r>
      <w:r>
        <w:rPr>
          <w:rStyle w:val="CharStyle7"/>
          <w:lang w:val="en-US" w:eastAsia="en-US"/>
        </w:rPr>
        <w:t xml:space="preserve">— </w:t>
      </w:r>
      <w:r>
        <w:rPr>
          <w:rStyle w:val="CharStyle7"/>
        </w:rPr>
        <w:t xml:space="preserve">Заявитель) на действия ФГБУ «НМИЦ ТО им. Н.Н. Приорова» Минздрава России (далее </w:t>
      </w:r>
      <w:r>
        <w:rPr>
          <w:rStyle w:val="CharStyle7"/>
          <w:lang w:val="en-US" w:eastAsia="en-US"/>
        </w:rPr>
        <w:t xml:space="preserve">— </w:t>
      </w:r>
      <w:r>
        <w:rPr>
          <w:rStyle w:val="CharStyle7"/>
        </w:rPr>
        <w:t xml:space="preserve">Заказчик) при проведении электронного аукциона на право заключения государственного контракта на поставку лекарственных препаратов для медицинского применения «МНН </w:t>
      </w:r>
      <w:r>
        <w:rPr>
          <w:rStyle w:val="CharStyle7"/>
          <w:lang w:val="en-US" w:eastAsia="en-US"/>
        </w:rPr>
        <w:t xml:space="preserve">– </w:t>
      </w:r>
      <w:r>
        <w:rPr>
          <w:rStyle w:val="CharStyle7"/>
        </w:rPr>
        <w:t xml:space="preserve">ТЕЙКОПЛАНИН» (Закупка№ </w:t>
      </w:r>
      <w:r>
        <w:rPr>
          <w:rStyle w:val="CharStyle7"/>
          <w:lang w:val="en-US" w:eastAsia="en-US"/>
        </w:rPr>
        <w:t xml:space="preserve">0373100068326000209) </w:t>
      </w:r>
      <w:r>
        <w:rPr>
          <w:rStyle w:val="CharStyle7"/>
        </w:rPr>
        <w:t xml:space="preserve">(далее </w:t>
      </w:r>
      <w:r>
        <w:rPr>
          <w:rStyle w:val="CharStyle7"/>
          <w:lang w:val="en-US" w:eastAsia="en-US"/>
        </w:rPr>
        <w:t xml:space="preserve">— </w:t>
      </w:r>
      <w:r>
        <w:rPr>
          <w:rStyle w:val="CharStyle7"/>
        </w:rPr>
        <w:t xml:space="preserve">аукцион, электронный аукцион), в соответствии с Федеральным законом от </w:t>
      </w:r>
      <w:r>
        <w:rPr>
          <w:rStyle w:val="CharStyle7"/>
          <w:lang w:val="en-US" w:eastAsia="en-US"/>
        </w:rPr>
        <w:t xml:space="preserve">05.04.2013 №44- </w:t>
      </w:r>
      <w:r>
        <w:rPr>
          <w:rStyle w:val="CharStyle7"/>
        </w:rPr>
        <w:t>ФЗ «О контрактной системе в сфере закупок товаров, работ, услуг для обеспечения</w:t>
      </w:r>
    </w:p>
    <w:p>
      <w:pPr>
        <w:pStyle w:val="Style13"/>
        <w:keepNext/>
        <w:keepLines/>
        <w:widowControl w:val="0"/>
        <w:shd w:val="clear" w:color="auto" w:fill="auto"/>
        <w:bidi w:val="0"/>
        <w:spacing w:before="0" w:line="240" w:lineRule="auto"/>
        <w:ind w:left="0" w:right="0"/>
        <w:jc w:val="both"/>
        <w:sectPr>
          <w:footerReference w:type="default" r:id="rId7"/>
          <w:footnotePr>
            <w:pos w:val="pageBottom"/>
            <w:numFmt w:val="decimal"/>
            <w:numRestart w:val="continuous"/>
          </w:footnotePr>
          <w:pgSz w:w="11900" w:h="16840"/>
          <w:pgMar w:top="294" w:right="541" w:bottom="584" w:left="1106" w:header="0" w:footer="3" w:gutter="0"/>
          <w:pgNumType w:start="1"/>
          <w:cols w:space="720"/>
          <w:noEndnote/>
          <w:rtlGutter w:val="0"/>
          <w:docGrid w:linePitch="360"/>
        </w:sectPr>
      </w:pPr>
      <w:bookmarkStart w:id="0" w:name="bookmark0"/>
      <w:r>
        <w:rPr>
          <w:rStyle w:val="CharStyle14"/>
        </w:rPr>
        <w:t>IIIIIIIIIIIIIIIIIIIIIIIIIIII</w:t>
      </w:r>
      <w:bookmarkEnd w:id="0"/>
    </w:p>
    <w:p>
      <w:pPr>
        <w:pStyle w:val="Style6"/>
        <w:keepNext w:val="0"/>
        <w:keepLines w:val="0"/>
        <w:widowControl w:val="0"/>
        <w:shd w:val="clear" w:color="auto" w:fill="auto"/>
        <w:bidi w:val="0"/>
        <w:spacing w:before="0" w:after="300" w:line="240" w:lineRule="auto"/>
        <w:ind w:left="0" w:right="0" w:firstLine="0"/>
        <w:jc w:val="both"/>
      </w:pPr>
      <w:r>
        <w:rPr>
          <w:rStyle w:val="CharStyle7"/>
        </w:rPr>
        <w:t xml:space="preserve">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0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Московское УФАС России поступила жалоба Заявителя на действия комиссии по осуществлению закупок Заказчика (далее </w:t>
      </w:r>
      <w:r>
        <w:rPr>
          <w:rStyle w:val="CharStyle7"/>
          <w:lang w:val="en-US" w:eastAsia="en-US"/>
        </w:rPr>
        <w:t xml:space="preserve">- </w:t>
      </w:r>
      <w:r>
        <w:rPr>
          <w:rStyle w:val="CharStyle7"/>
        </w:rPr>
        <w:t>комиссия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составе своей жалобы Заявитель указывает на неправомерные действия комиссии Заказчика, выразившиеся в неправомерном признании победителя закупки, так как им представлена большая цена контракта.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протоколу подведения итогов определения поставщика (подрядчика, исполнителя) от </w:t>
      </w:r>
      <w:r>
        <w:rPr>
          <w:rStyle w:val="CharStyle7"/>
          <w:lang w:val="en-US" w:eastAsia="en-US"/>
        </w:rPr>
        <w:t xml:space="preserve">28.04.2026 </w:t>
      </w:r>
      <w:r>
        <w:rPr>
          <w:rStyle w:val="CharStyle7"/>
        </w:rPr>
        <w:t xml:space="preserve">№ИЭА1 на участие в закупке подано две заявки, в том числе заявка Заявителя (идентификационный номер заявки </w:t>
      </w:r>
      <w:r>
        <w:rPr>
          <w:rStyle w:val="CharStyle7"/>
          <w:lang w:val="en-US" w:eastAsia="en-US"/>
        </w:rPr>
        <w:t xml:space="preserve">144), </w:t>
      </w:r>
      <w:r>
        <w:rPr>
          <w:rStyle w:val="CharStyle7"/>
        </w:rPr>
        <w:t>признанные соответствующими требованиям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этом заявка участника с идентификационным номером закупки </w:t>
      </w:r>
      <w:r>
        <w:rPr>
          <w:rStyle w:val="CharStyle7"/>
          <w:lang w:val="en-US" w:eastAsia="en-US"/>
        </w:rPr>
        <w:t xml:space="preserve">29 </w:t>
      </w:r>
      <w:r>
        <w:rPr>
          <w:rStyle w:val="CharStyle7"/>
        </w:rPr>
        <w:t>признана победителем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 п.3 ч.2 ст.42 Закона о контрактной системе, извещение об осуществлении закупки должно содержать электронные документы с описанием объекта закупки в соответствии со ст.33 Закона о контрактной системе, с требованиями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300" w:line="240" w:lineRule="auto"/>
        <w:ind w:left="0" w:right="0" w:firstLine="700"/>
        <w:jc w:val="both"/>
      </w:pPr>
      <w:r>
        <w:rPr>
          <w:rStyle w:val="CharStyle7"/>
        </w:rPr>
        <w:t xml:space="preserve">В силу п. </w:t>
      </w:r>
      <w:r>
        <w:rPr>
          <w:rStyle w:val="CharStyle7"/>
          <w:lang w:val="en-US" w:eastAsia="en-US"/>
        </w:rPr>
        <w:t xml:space="preserve">6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33 </w:t>
      </w:r>
      <w:r>
        <w:rPr>
          <w:rStyle w:val="CharStyle7"/>
        </w:rPr>
        <w:t xml:space="preserve">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пп. «г» п. </w:t>
      </w:r>
      <w:r>
        <w:rPr>
          <w:rStyle w:val="CharStyle7"/>
          <w:lang w:val="en-US" w:eastAsia="en-US"/>
        </w:rPr>
        <w:t xml:space="preserve">2 </w:t>
      </w:r>
      <w:r>
        <w:rPr>
          <w:rStyle w:val="CharStyle7"/>
        </w:rPr>
        <w:t xml:space="preserve">ч. </w:t>
      </w:r>
      <w:r>
        <w:rPr>
          <w:rStyle w:val="CharStyle7"/>
          <w:lang w:val="en-US" w:eastAsia="en-US"/>
        </w:rPr>
        <w:t xml:space="preserve">10 </w:t>
      </w:r>
      <w:r>
        <w:rPr>
          <w:rStyle w:val="CharStyle7"/>
        </w:rPr>
        <w:t xml:space="preserve">ст. </w:t>
      </w:r>
      <w:r>
        <w:rPr>
          <w:rStyle w:val="CharStyle7"/>
          <w:lang w:val="en-US" w:eastAsia="en-US"/>
        </w:rPr>
        <w:t xml:space="preserve">24 </w:t>
      </w:r>
      <w:r>
        <w:rPr>
          <w:rStyle w:val="CharStyle7"/>
        </w:rPr>
        <w:t>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со встречными инвестиционными обязательствами в соответствии со ст. </w:t>
      </w:r>
      <w:r>
        <w:rPr>
          <w:rStyle w:val="CharStyle7"/>
          <w:lang w:val="en-US" w:eastAsia="en-US"/>
        </w:rPr>
        <w:t xml:space="preserve">111.4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ч. </w:t>
      </w:r>
      <w:r>
        <w:rPr>
          <w:rStyle w:val="CharStyle7"/>
          <w:lang w:val="en-US" w:eastAsia="en-US"/>
        </w:rPr>
        <w:t xml:space="preserve">5 </w:t>
      </w:r>
      <w:r>
        <w:rPr>
          <w:rStyle w:val="CharStyle7"/>
        </w:rPr>
        <w:t>ст.3 Закона о контрактной системе особенности описания отдельных видов объектов закупок могут устанавливаться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15.11.2017 № 1380 </w:t>
      </w:r>
      <w:r>
        <w:rPr>
          <w:rStyle w:val="CharStyle7"/>
        </w:rPr>
        <w:t xml:space="preserve">«Об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№1380) </w:t>
      </w:r>
      <w:r>
        <w:rPr>
          <w:rStyle w:val="CharStyle7"/>
        </w:rPr>
        <w:t>предусмотрены 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П.2 Постановления </w:t>
      </w:r>
      <w:r>
        <w:rPr>
          <w:rStyle w:val="CharStyle7"/>
          <w:lang w:val="en-US" w:eastAsia="en-US"/>
        </w:rPr>
        <w:t xml:space="preserve">№1380 </w:t>
      </w:r>
      <w:r>
        <w:rPr>
          <w:rStyle w:val="CharStyle7"/>
        </w:rPr>
        <w:t>предусмотрено, что при описании объекта закупки заказчики помимо сведений, предусмотренных п.6 ч.1 ст.33 Закона о контрактной системе, указывают:</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00"/>
        <w:jc w:val="both"/>
      </w:pPr>
      <w:r>
        <w:rPr>
          <w:rStyle w:val="CharStyle7"/>
        </w:rPr>
        <w:t>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00"/>
        <w:jc w:val="both"/>
      </w:pPr>
      <w:r>
        <w:rPr>
          <w:rStyle w:val="CharStyle7"/>
        </w:rPr>
        <w:t xml:space="preserve">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w:t>
      </w:r>
      <w:r>
        <w:rPr>
          <w:rStyle w:val="CharStyle7"/>
          <w:lang w:val="en-US" w:eastAsia="en-US"/>
        </w:rPr>
        <w:t xml:space="preserve">300 </w:t>
      </w:r>
      <w:r>
        <w:rPr>
          <w:rStyle w:val="CharStyle7"/>
        </w:rPr>
        <w:t xml:space="preserve">мг указывается: </w:t>
      </w:r>
      <w:r>
        <w:rPr>
          <w:rStyle w:val="CharStyle7"/>
          <w:lang w:val="en-US" w:eastAsia="en-US"/>
        </w:rPr>
        <w:t xml:space="preserve">1 </w:t>
      </w:r>
      <w:r>
        <w:rPr>
          <w:rStyle w:val="CharStyle7"/>
        </w:rPr>
        <w:t xml:space="preserve">таблетка с дозировкой </w:t>
      </w:r>
      <w:r>
        <w:rPr>
          <w:rStyle w:val="CharStyle7"/>
          <w:lang w:val="en-US" w:eastAsia="en-US"/>
        </w:rPr>
        <w:t xml:space="preserve">300 </w:t>
      </w:r>
      <w:r>
        <w:rPr>
          <w:rStyle w:val="CharStyle7"/>
        </w:rPr>
        <w:t xml:space="preserve">мг или </w:t>
      </w:r>
      <w:r>
        <w:rPr>
          <w:rStyle w:val="CharStyle7"/>
          <w:lang w:val="en-US" w:eastAsia="en-US"/>
        </w:rPr>
        <w:t xml:space="preserve">2 </w:t>
      </w:r>
      <w:r>
        <w:rPr>
          <w:rStyle w:val="CharStyle7"/>
        </w:rPr>
        <w:t xml:space="preserve">таблетки с дозировкой </w:t>
      </w:r>
      <w:r>
        <w:rPr>
          <w:rStyle w:val="CharStyle7"/>
          <w:lang w:val="en-US" w:eastAsia="en-US"/>
        </w:rPr>
        <w:t xml:space="preserve">150 </w:t>
      </w:r>
      <w:r>
        <w:rPr>
          <w:rStyle w:val="CharStyle7"/>
        </w:rPr>
        <w:t xml:space="preserve">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w:t>
      </w:r>
      <w:r>
        <w:rPr>
          <w:rStyle w:val="CharStyle7"/>
          <w:lang w:val="en-US" w:eastAsia="en-US"/>
        </w:rPr>
        <w:t xml:space="preserve">2,5 </w:t>
      </w:r>
      <w:r>
        <w:rPr>
          <w:rStyle w:val="CharStyle7"/>
        </w:rPr>
        <w:t xml:space="preserve">мг, или </w:t>
      </w:r>
      <w:r>
        <w:rPr>
          <w:rStyle w:val="CharStyle7"/>
          <w:lang w:val="en-US" w:eastAsia="en-US"/>
        </w:rPr>
        <w:t xml:space="preserve">3 </w:t>
      </w:r>
      <w:r>
        <w:rPr>
          <w:rStyle w:val="CharStyle7"/>
        </w:rPr>
        <w:t xml:space="preserve">мг, или </w:t>
      </w:r>
      <w:r>
        <w:rPr>
          <w:rStyle w:val="CharStyle7"/>
          <w:lang w:val="en-US" w:eastAsia="en-US"/>
        </w:rPr>
        <w:t xml:space="preserve">3,5 </w:t>
      </w:r>
      <w:r>
        <w:rPr>
          <w:rStyle w:val="CharStyle7"/>
        </w:rPr>
        <w:t>мг), допускается указание концентрации лекарственного препарата без установления кратности;</w:t>
      </w:r>
    </w:p>
    <w:p>
      <w:pPr>
        <w:pStyle w:val="Style6"/>
        <w:keepNext w:val="0"/>
        <w:keepLines w:val="0"/>
        <w:widowControl w:val="0"/>
        <w:numPr>
          <w:ilvl w:val="0"/>
          <w:numId w:val="1"/>
        </w:numPr>
        <w:shd w:val="clear" w:color="auto" w:fill="auto"/>
        <w:tabs>
          <w:tab w:pos="1085" w:val="left"/>
        </w:tabs>
        <w:bidi w:val="0"/>
        <w:spacing w:before="0" w:after="0" w:line="240" w:lineRule="auto"/>
        <w:ind w:left="0" w:right="0" w:firstLine="700"/>
        <w:jc w:val="both"/>
      </w:pPr>
      <w:r>
        <w:rPr>
          <w:rStyle w:val="CharStyle7"/>
        </w:rPr>
        <w:t xml:space="preserve">остаточный срок годности лекарственного препарата, выраженный в единицах измерения времени (например, «не ранее </w:t>
      </w:r>
      <w:r>
        <w:rPr>
          <w:rStyle w:val="CharStyle7"/>
          <w:lang w:val="en-US" w:eastAsia="en-US"/>
        </w:rPr>
        <w:t xml:space="preserve">1 </w:t>
      </w:r>
      <w:r>
        <w:rPr>
          <w:rStyle w:val="CharStyle7"/>
        </w:rPr>
        <w:t xml:space="preserve">января </w:t>
      </w:r>
      <w:r>
        <w:rPr>
          <w:rStyle w:val="CharStyle7"/>
          <w:lang w:val="en-US" w:eastAsia="en-US"/>
        </w:rPr>
        <w:t xml:space="preserve">2020 </w:t>
      </w:r>
      <w:r>
        <w:rPr>
          <w:rStyle w:val="CharStyle7"/>
        </w:rPr>
        <w:t xml:space="preserve">г.» или «не менее </w:t>
      </w:r>
      <w:r>
        <w:rPr>
          <w:rStyle w:val="CharStyle7"/>
          <w:lang w:val="en-US" w:eastAsia="en-US"/>
        </w:rPr>
        <w:t xml:space="preserve">12 </w:t>
      </w:r>
      <w:r>
        <w:rPr>
          <w:rStyle w:val="CharStyle7"/>
        </w:rPr>
        <w:t>месяцев с даты заключения контракта» и др.).</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согласно описанию объекта закупки Заказчиком закупается лекарственный препарат: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Международное непатентованное (химическое, группировочное) наименование (далее </w:t>
      </w:r>
      <w:r>
        <w:rPr>
          <w:rStyle w:val="CharStyle7"/>
          <w:lang w:val="en-US" w:eastAsia="en-US"/>
        </w:rPr>
        <w:t xml:space="preserve">— </w:t>
      </w:r>
      <w:r>
        <w:rPr>
          <w:rStyle w:val="CharStyle7"/>
        </w:rPr>
        <w:t xml:space="preserve">МНН): ТЕЙКОПЛАНИН </w:t>
      </w:r>
      <w:r>
        <w:rPr>
          <w:rStyle w:val="CharStyle7"/>
          <w:lang w:val="en-US" w:eastAsia="en-US"/>
        </w:rPr>
        <w:t xml:space="preserve">21.20.10.191: </w:t>
      </w:r>
      <w:r>
        <w:rPr>
          <w:rStyle w:val="CharStyle7"/>
        </w:rPr>
        <w:t xml:space="preserve">Препараты антибактериальные для системного использования </w:t>
      </w:r>
      <w:r>
        <w:rPr>
          <w:rStyle w:val="CharStyle7"/>
          <w:lang w:val="en-US" w:eastAsia="en-US"/>
        </w:rPr>
        <w:t>21.20.10.191-00126.</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Также 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7"/>
          <w:lang w:val="en-US" w:eastAsia="en-US"/>
        </w:rPr>
        <w:t xml:space="preserve">- </w:t>
      </w:r>
      <w:r>
        <w:rPr>
          <w:rStyle w:val="CharStyle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7"/>
          <w:lang w:val="en-US" w:eastAsia="en-US"/>
        </w:rPr>
        <w:t xml:space="preserve">- </w:t>
      </w:r>
      <w:r>
        <w:rPr>
          <w:rStyle w:val="CharStyle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7"/>
          <w:lang w:val="en-US" w:eastAsia="en-US"/>
        </w:rPr>
        <w:t xml:space="preserve">- </w:t>
      </w:r>
      <w:r>
        <w:rPr>
          <w:rStyle w:val="CharStyle7"/>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6"/>
        <w:keepNext w:val="0"/>
        <w:keepLines w:val="0"/>
        <w:widowControl w:val="0"/>
        <w:shd w:val="clear" w:color="auto" w:fill="auto"/>
        <w:bidi w:val="0"/>
        <w:spacing w:before="0" w:after="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138" w:right="539" w:bottom="1080" w:left="1104" w:header="0" w:footer="3" w:gutter="0"/>
          <w:cols w:space="720"/>
          <w:noEndnote/>
          <w:rtlGutter w:val="0"/>
          <w:docGrid w:linePitch="360"/>
        </w:sectPr>
      </w:pPr>
      <w:r>
        <w:rPr>
          <w:rStyle w:val="CharStyle7"/>
        </w:rPr>
        <w:t>В силу ч.2 ст.14 Закона о контрактной системе Правительство Российской Федерации:</w:t>
      </w:r>
    </w:p>
    <w:p>
      <w:pPr>
        <w:pStyle w:val="Style6"/>
        <w:keepNext w:val="0"/>
        <w:keepLines w:val="0"/>
        <w:widowControl w:val="0"/>
        <w:numPr>
          <w:ilvl w:val="0"/>
          <w:numId w:val="3"/>
        </w:numPr>
        <w:shd w:val="clear" w:color="auto" w:fill="auto"/>
        <w:tabs>
          <w:tab w:pos="1061" w:val="left"/>
        </w:tabs>
        <w:bidi w:val="0"/>
        <w:spacing w:before="0" w:after="0" w:line="240" w:lineRule="auto"/>
        <w:ind w:left="0" w:right="0" w:firstLine="700"/>
        <w:jc w:val="both"/>
      </w:pPr>
      <w:r>
        <w:rPr>
          <w:rStyle w:val="CharStyle7"/>
        </w:rPr>
        <w:t>вправе с учетом положений ч.3 ст.14 Закона о контрактной системе принимать меры, устанавливающие:</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rStyle w:val="CharStyle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rStyle w:val="CharStyle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numPr>
          <w:ilvl w:val="0"/>
          <w:numId w:val="5"/>
        </w:numPr>
        <w:shd w:val="clear" w:color="auto" w:fill="auto"/>
        <w:tabs>
          <w:tab w:pos="1061" w:val="left"/>
        </w:tabs>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6"/>
        <w:keepNext w:val="0"/>
        <w:keepLines w:val="0"/>
        <w:widowControl w:val="0"/>
        <w:numPr>
          <w:ilvl w:val="0"/>
          <w:numId w:val="3"/>
        </w:numPr>
        <w:shd w:val="clear" w:color="auto" w:fill="auto"/>
        <w:tabs>
          <w:tab w:pos="1061" w:val="left"/>
        </w:tabs>
        <w:bidi w:val="0"/>
        <w:spacing w:before="0" w:after="0" w:line="240" w:lineRule="auto"/>
        <w:ind w:left="0" w:right="0" w:firstLine="700"/>
        <w:jc w:val="both"/>
      </w:pPr>
      <w:r>
        <w:rPr>
          <w:rStyle w:val="CharStyle7"/>
        </w:rPr>
        <w:t xml:space="preserve">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 </w:t>
      </w:r>
      <w:r>
        <w:rPr>
          <w:rStyle w:val="CharStyle7"/>
          <w:lang w:val="en-US" w:eastAsia="en-US"/>
        </w:rPr>
        <w:t xml:space="preserve">1 </w:t>
      </w:r>
      <w:r>
        <w:rPr>
          <w:rStyle w:val="CharStyle7"/>
        </w:rPr>
        <w:t>ч.2 ст.14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соответствии с п.2 ч.4 ст.14 Закона о контрактной системе при осуществлении закупки товара если Правительством Российской Федерации установлено предусмотренное пп.«б» п.1 ч.2 ст.14 Закона о контрактной системе ограничение закупок товара:</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Законом о контрактной системе,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о контрактной системе предусмотрена документация о закупке) заявка, содержащая предложение о поставке такого товара российского происхождения;</w:t>
      </w:r>
    </w:p>
    <w:p>
      <w:pPr>
        <w:pStyle w:val="Style6"/>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7"/>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6"/>
        <w:keepNext w:val="0"/>
        <w:keepLines w:val="0"/>
        <w:widowControl w:val="0"/>
        <w:shd w:val="clear" w:color="auto" w:fill="auto"/>
        <w:bidi w:val="0"/>
        <w:spacing w:before="0" w:after="0" w:line="240" w:lineRule="auto"/>
        <w:ind w:left="0" w:right="0" w:firstLine="700"/>
        <w:jc w:val="both"/>
        <w:rPr>
          <w:sz w:val="24"/>
          <w:szCs w:val="24"/>
        </w:rPr>
        <w:sectPr>
          <w:headerReference w:type="default" r:id="rId10"/>
          <w:footerReference w:type="default" r:id="rId11"/>
          <w:footnotePr>
            <w:pos w:val="pageBottom"/>
            <w:numFmt w:val="decimal"/>
            <w:numRestart w:val="continuous"/>
          </w:footnotePr>
          <w:pgSz w:w="11900" w:h="16840"/>
          <w:pgMar w:top="1162" w:right="545" w:bottom="696" w:left="1101" w:header="0" w:footer="268" w:gutter="0"/>
          <w:cols w:space="720"/>
          <w:noEndnote/>
          <w:rtlGutter w:val="0"/>
          <w:docGrid w:linePitch="360"/>
        </w:sectPr>
      </w:pPr>
      <w:r>
        <w:rPr>
          <w:rStyle w:val="CharStyle7"/>
        </w:rPr>
        <w:t xml:space="preserve">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w:t>
      </w:r>
      <w:r>
        <w:rPr>
          <w:rStyle w:val="CharStyle7"/>
          <w:sz w:val="24"/>
          <w:szCs w:val="24"/>
          <w:lang w:val="en-US" w:eastAsia="en-US"/>
        </w:rPr>
        <w:t>2026-23713</w:t>
      </w:r>
    </w:p>
    <w:p>
      <w:pPr>
        <w:pStyle w:val="Style6"/>
        <w:keepNext w:val="0"/>
        <w:keepLines w:val="0"/>
        <w:widowControl w:val="0"/>
        <w:shd w:val="clear" w:color="auto" w:fill="auto"/>
        <w:bidi w:val="0"/>
        <w:spacing w:before="0" w:after="0" w:line="240" w:lineRule="auto"/>
        <w:ind w:left="0" w:right="0" w:firstLine="0"/>
        <w:jc w:val="both"/>
      </w:pPr>
      <w:r>
        <w:rPr>
          <w:rStyle w:val="CharStyle7"/>
        </w:rPr>
        <w:t>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тем п.1 Постановления Правительства Российской Федерации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установлены: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7"/>
          <w:lang w:val="en-US" w:eastAsia="en-US"/>
        </w:rPr>
        <w:t xml:space="preserve">- </w:t>
      </w:r>
      <w:r>
        <w:rPr>
          <w:rStyle w:val="CharStyle7"/>
        </w:rPr>
        <w:t xml:space="preserve">иностранные лица), по перечню согласно приложению </w:t>
      </w:r>
      <w:r>
        <w:rPr>
          <w:rStyle w:val="CharStyle7"/>
          <w:lang w:val="en-US" w:eastAsia="en-US"/>
        </w:rPr>
        <w:t xml:space="preserve">№ 1, </w:t>
      </w:r>
      <w:r>
        <w:rPr>
          <w:rStyle w:val="CharStyle7"/>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7"/>
          <w:lang w:val="en-US" w:eastAsia="en-US"/>
        </w:rPr>
        <w:t xml:space="preserve">№ 2, </w:t>
      </w:r>
      <w:r>
        <w:rPr>
          <w:rStyle w:val="CharStyle7"/>
        </w:rPr>
        <w:t>и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рамках данной закупочной процедуры Заказчиком для закупаемого лекарственного препарата установлено преимущество в отношении товаров российского происхождения, выполняемых работ, оказываемых услуг российскими лицами по Постановлению </w:t>
      </w:r>
      <w:r>
        <w:rPr>
          <w:rStyle w:val="CharStyle7"/>
          <w:lang w:val="en-US" w:eastAsia="en-US"/>
        </w:rPr>
        <w:t>№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этом пп. «р» п.4 Постановления </w:t>
      </w:r>
      <w:r>
        <w:rPr>
          <w:rStyle w:val="CharStyle7"/>
          <w:lang w:val="en-US" w:eastAsia="en-US"/>
        </w:rPr>
        <w:t xml:space="preserve">№1875 </w:t>
      </w:r>
      <w:r>
        <w:rPr>
          <w:rStyle w:val="CharStyle7"/>
        </w:rPr>
        <w:t xml:space="preserve">регламентировано, что предусмотренное п.1 Постановления </w:t>
      </w:r>
      <w:r>
        <w:rPr>
          <w:rStyle w:val="CharStyle7"/>
          <w:lang w:val="en-US" w:eastAsia="en-US"/>
        </w:rPr>
        <w:t xml:space="preserve">№1875 </w:t>
      </w:r>
      <w:r>
        <w:rPr>
          <w:rStyle w:val="CharStyle7"/>
        </w:rPr>
        <w:t xml:space="preserve">ограничение в отношении лекарственных препаратов, указанных в п. </w:t>
      </w:r>
      <w:r>
        <w:rPr>
          <w:rStyle w:val="CharStyle7"/>
          <w:lang w:val="en-US" w:eastAsia="en-US"/>
        </w:rPr>
        <w:t xml:space="preserve">433 </w:t>
      </w:r>
      <w:r>
        <w:rPr>
          <w:rStyle w:val="CharStyle7"/>
        </w:rPr>
        <w:t xml:space="preserve">приложения </w:t>
      </w:r>
      <w:r>
        <w:rPr>
          <w:rStyle w:val="CharStyle7"/>
          <w:lang w:val="en-US" w:eastAsia="en-US"/>
        </w:rPr>
        <w:t xml:space="preserve">№2 </w:t>
      </w:r>
      <w:r>
        <w:rPr>
          <w:rStyle w:val="CharStyle7"/>
        </w:rPr>
        <w:t xml:space="preserve">к Постановлению </w:t>
      </w:r>
      <w:r>
        <w:rPr>
          <w:rStyle w:val="CharStyle7"/>
          <w:lang w:val="en-US" w:eastAsia="en-US"/>
        </w:rPr>
        <w:t xml:space="preserve">№1875, </w:t>
      </w:r>
      <w:r>
        <w:rPr>
          <w:rStyle w:val="CharStyle7"/>
        </w:rPr>
        <w:t xml:space="preserve">применяется при осуществлении закупок лекарственных препаратов, включенных в перечень жизненно необходимых и важнейших лекарственных препаратов для медицинского применения, утвержденный распоряжением Правительства Российской Федерации от </w:t>
      </w:r>
      <w:r>
        <w:rPr>
          <w:rStyle w:val="CharStyle7"/>
          <w:lang w:val="en-US" w:eastAsia="en-US"/>
        </w:rPr>
        <w:t xml:space="preserve">12 </w:t>
      </w:r>
      <w:r>
        <w:rPr>
          <w:rStyle w:val="CharStyle7"/>
        </w:rPr>
        <w:t xml:space="preserve">октября </w:t>
      </w:r>
      <w:r>
        <w:rPr>
          <w:rStyle w:val="CharStyle7"/>
          <w:lang w:val="en-US" w:eastAsia="en-US"/>
        </w:rPr>
        <w:t xml:space="preserve">2019 </w:t>
      </w:r>
      <w:r>
        <w:rPr>
          <w:rStyle w:val="CharStyle7"/>
        </w:rPr>
        <w:t xml:space="preserve">г. </w:t>
      </w:r>
      <w:r>
        <w:rPr>
          <w:rStyle w:val="CharStyle7"/>
          <w:lang w:val="en-US" w:eastAsia="en-US"/>
        </w:rPr>
        <w:t xml:space="preserve">№ </w:t>
      </w:r>
      <w:r>
        <w:rPr>
          <w:rStyle w:val="CharStyle7"/>
        </w:rPr>
        <w:t>2406-р.</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ч.1 ст.49 Закона о контрактной системе заявка на участие в закупке должна содержать информацию и документы, предусмотренные пп.«м» </w:t>
      </w:r>
      <w:r>
        <w:rPr>
          <w:rStyle w:val="CharStyle7"/>
          <w:lang w:val="en-US" w:eastAsia="en-US"/>
        </w:rPr>
        <w:t xml:space="preserve">- </w:t>
      </w:r>
      <w:r>
        <w:rPr>
          <w:rStyle w:val="CharStyle7"/>
        </w:rPr>
        <w:t xml:space="preserve">«п» п.1, пп.«а» </w:t>
      </w:r>
      <w:r>
        <w:rPr>
          <w:rStyle w:val="CharStyle7"/>
          <w:lang w:val="en-US" w:eastAsia="en-US"/>
        </w:rPr>
        <w:t xml:space="preserve">- </w:t>
      </w:r>
      <w:r>
        <w:rPr>
          <w:rStyle w:val="CharStyle7"/>
        </w:rPr>
        <w:t>«в»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соответствии с п. </w:t>
      </w:r>
      <w:r>
        <w:rPr>
          <w:rStyle w:val="CharStyle7"/>
          <w:lang w:val="en-US" w:eastAsia="en-US"/>
        </w:rPr>
        <w:t xml:space="preserve">2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9"/>
        </w:numPr>
        <w:shd w:val="clear" w:color="auto" w:fill="auto"/>
        <w:tabs>
          <w:tab w:pos="1038" w:val="left"/>
        </w:tabs>
        <w:bidi w:val="0"/>
        <w:spacing w:before="0" w:after="0" w:line="240" w:lineRule="auto"/>
        <w:ind w:left="0" w:right="0" w:firstLine="700"/>
        <w:jc w:val="both"/>
      </w:pPr>
      <w:r>
        <w:rPr>
          <w:rStyle w:val="CharStyle7"/>
        </w:rPr>
        <w:t xml:space="preserve">с учетом положений ч. </w:t>
      </w:r>
      <w:r>
        <w:rPr>
          <w:rStyle w:val="CharStyle7"/>
          <w:lang w:val="en-US" w:eastAsia="en-US"/>
        </w:rPr>
        <w:t xml:space="preserve">2 </w:t>
      </w:r>
      <w:r>
        <w:rPr>
          <w:rStyle w:val="CharStyle7"/>
        </w:rPr>
        <w:t xml:space="preserve">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w:t>
      </w:r>
      <w:r>
        <w:rPr>
          <w:rStyle w:val="CharStyle7"/>
          <w:lang w:val="en-US" w:eastAsia="en-US"/>
        </w:rPr>
        <w:t xml:space="preserve">2 </w:t>
      </w:r>
      <w:r>
        <w:rPr>
          <w:rStyle w:val="CharStyle7"/>
        </w:rPr>
        <w:t xml:space="preserve">ст. </w:t>
      </w:r>
      <w:r>
        <w:rPr>
          <w:rStyle w:val="CharStyle7"/>
          <w:lang w:val="en-US" w:eastAsia="en-US"/>
        </w:rPr>
        <w:t xml:space="preserve">33 </w:t>
      </w:r>
      <w:r>
        <w:rPr>
          <w:rStyle w:val="CharStyle7"/>
        </w:rPr>
        <w:t>Закона о контрактной системе, товарный знак (при наличии у товара товарного знака);</w:t>
      </w:r>
    </w:p>
    <w:p>
      <w:pPr>
        <w:pStyle w:val="Style6"/>
        <w:keepNext w:val="0"/>
        <w:keepLines w:val="0"/>
        <w:widowControl w:val="0"/>
        <w:numPr>
          <w:ilvl w:val="0"/>
          <w:numId w:val="9"/>
        </w:numPr>
        <w:shd w:val="clear" w:color="auto" w:fill="auto"/>
        <w:tabs>
          <w:tab w:pos="1057" w:val="left"/>
        </w:tabs>
        <w:bidi w:val="0"/>
        <w:spacing w:before="0" w:after="0" w:line="240" w:lineRule="auto"/>
        <w:ind w:left="0" w:right="0" w:firstLine="700"/>
        <w:jc w:val="both"/>
      </w:pPr>
      <w:r>
        <w:rPr>
          <w:rStyle w:val="CharStyle7"/>
        </w:rPr>
        <w:t xml:space="preserve">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numPr>
          <w:ilvl w:val="0"/>
          <w:numId w:val="9"/>
        </w:numPr>
        <w:shd w:val="clear" w:color="auto" w:fill="auto"/>
        <w:tabs>
          <w:tab w:pos="1047" w:val="left"/>
        </w:tabs>
        <w:bidi w:val="0"/>
        <w:spacing w:before="0" w:after="0" w:line="240" w:lineRule="auto"/>
        <w:ind w:left="0" w:right="0" w:firstLine="700"/>
        <w:jc w:val="both"/>
      </w:pPr>
      <w:r>
        <w:rPr>
          <w:rStyle w:val="CharStyle7"/>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9"/>
        </w:numPr>
        <w:shd w:val="clear" w:color="auto" w:fill="auto"/>
        <w:tabs>
          <w:tab w:pos="1028" w:val="left"/>
        </w:tabs>
        <w:bidi w:val="0"/>
        <w:spacing w:before="0" w:after="0" w:line="240" w:lineRule="auto"/>
        <w:ind w:left="0" w:right="0" w:firstLine="700"/>
        <w:jc w:val="both"/>
      </w:pPr>
      <w:r>
        <w:rPr>
          <w:rStyle w:val="CharStyle7"/>
        </w:rPr>
        <w:t xml:space="preserve">с учетом положений ч. </w:t>
      </w:r>
      <w:r>
        <w:rPr>
          <w:rStyle w:val="CharStyle7"/>
          <w:lang w:val="en-US" w:eastAsia="en-US"/>
        </w:rPr>
        <w:t xml:space="preserve">2 </w:t>
      </w:r>
      <w:r>
        <w:rPr>
          <w:rStyle w:val="CharStyle7"/>
        </w:rPr>
        <w:t xml:space="preserve">ст. </w:t>
      </w:r>
      <w:r>
        <w:rPr>
          <w:rStyle w:val="CharStyle7"/>
          <w:lang w:val="en-US" w:eastAsia="en-US"/>
        </w:rPr>
        <w:t xml:space="preserve">43 </w:t>
      </w:r>
      <w:r>
        <w:rPr>
          <w:rStyle w:val="CharStyle7"/>
        </w:rPr>
        <w:t xml:space="preserve">Закона о контрактной системе предложение по критериям, предусмотренным п. </w:t>
      </w:r>
      <w:r>
        <w:rPr>
          <w:rStyle w:val="CharStyle7"/>
          <w:lang w:val="en-US" w:eastAsia="en-US"/>
        </w:rPr>
        <w:t xml:space="preserve">2 </w:t>
      </w:r>
      <w:r>
        <w:rPr>
          <w:rStyle w:val="CharStyle7"/>
        </w:rPr>
        <w:t xml:space="preserve">и (или) </w:t>
      </w:r>
      <w:r>
        <w:rPr>
          <w:rStyle w:val="CharStyle7"/>
          <w:lang w:val="en-US" w:eastAsia="en-US"/>
        </w:rPr>
        <w:t xml:space="preserve">3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32 </w:t>
      </w:r>
      <w:r>
        <w:rPr>
          <w:rStyle w:val="CharStyle7"/>
        </w:rPr>
        <w:t>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9"/>
        </w:numPr>
        <w:shd w:val="clear" w:color="auto" w:fill="auto"/>
        <w:tabs>
          <w:tab w:pos="1057" w:val="left"/>
        </w:tabs>
        <w:bidi w:val="0"/>
        <w:spacing w:before="0" w:after="0" w:line="240" w:lineRule="auto"/>
        <w:ind w:left="0" w:right="0" w:firstLine="700"/>
        <w:jc w:val="both"/>
      </w:pPr>
      <w:r>
        <w:rPr>
          <w:rStyle w:val="CharStyle7"/>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ч.1 ст.13 Федерального закона от </w:t>
      </w:r>
      <w:r>
        <w:rPr>
          <w:rStyle w:val="CharStyle7"/>
          <w:lang w:val="en-US" w:eastAsia="en-US"/>
        </w:rPr>
        <w:t xml:space="preserve">13.07.2010 № </w:t>
      </w:r>
      <w:r>
        <w:rPr>
          <w:rStyle w:val="CharStyle7"/>
        </w:rPr>
        <w:t xml:space="preserve">61-ФЗ «Об обращении лекарственных средств» (далее </w:t>
      </w:r>
      <w:r>
        <w:rPr>
          <w:rStyle w:val="CharStyle7"/>
          <w:lang w:val="en-US" w:eastAsia="en-US"/>
        </w:rPr>
        <w:t xml:space="preserve">— </w:t>
      </w:r>
      <w:r>
        <w:rPr>
          <w:rStyle w:val="CharStyle7"/>
        </w:rPr>
        <w:t>Закон об обращении лекарственных средств)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либо в соответствии с актами, составляющими право Союза.</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ч.1 ст.28 Закона об обращении лекарственных средств регистрационное удостоверение лекарственного препарата с указанием лекарственных форм и дозировок выдается бессрочно, за исключением регистрационного удостоверения лекарственного препарата, выдаваемого со сроком действия пять лет, на впервые регистрируемые в Российской Федерации лекарственные препараты.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документом, подтверждающим возможность оборота препарата на территории Российской Федерации, является регистрационное удостоверение.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свою очередь, в Приложении </w:t>
      </w:r>
      <w:r>
        <w:rPr>
          <w:rStyle w:val="CharStyle7"/>
          <w:lang w:val="en-US" w:eastAsia="en-US"/>
        </w:rPr>
        <w:t xml:space="preserve">№ 3 </w:t>
      </w:r>
      <w:r>
        <w:rPr>
          <w:rStyle w:val="CharStyle7"/>
        </w:rPr>
        <w:t>к Извещению об осуществлении закупки Заказчиком установлены требования к содержанию, составу заявки на</w:t>
      </w:r>
    </w:p>
    <w:p>
      <w:pPr>
        <w:pStyle w:val="Style6"/>
        <w:keepNext w:val="0"/>
        <w:keepLines w:val="0"/>
        <w:widowControl w:val="0"/>
        <w:shd w:val="clear" w:color="auto" w:fill="auto"/>
        <w:bidi w:val="0"/>
        <w:spacing w:before="0" w:after="0" w:line="240" w:lineRule="auto"/>
        <w:ind w:left="0" w:right="0" w:firstLine="0"/>
        <w:jc w:val="both"/>
      </w:pPr>
      <w:r>
        <w:rPr>
          <w:rStyle w:val="CharStyle7"/>
        </w:rPr>
        <w:t>участие в закупке и инструкция по ее заполнению, в том числе:</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В разделе: РЕКОМЕНДУЕМАЯ ФОРМА ЗАЯВКИ НА УЧАСТИЕ В ЭЛЕКТРОННОМ АУКЦИОНЕ:</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Наименование держателя или владельца регистрационного удостоверения лекарственного препарата.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w:t>
      </w:r>
      <w:r>
        <w:rPr>
          <w:rStyle w:val="CharStyle7"/>
          <w:lang w:val="en-US" w:eastAsia="en-US"/>
        </w:rPr>
        <w:t xml:space="preserve">— </w:t>
      </w:r>
      <w:r>
        <w:rPr>
          <w:rStyle w:val="CharStyle7"/>
        </w:rPr>
        <w:t>п.8 ч.12 ст.48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заявка Заявителя (идентификационный номер заявки </w:t>
      </w:r>
      <w:r>
        <w:rPr>
          <w:rStyle w:val="CharStyle7"/>
          <w:lang w:val="en-US" w:eastAsia="en-US"/>
        </w:rPr>
        <w:t xml:space="preserve">144) </w:t>
      </w:r>
      <w:r>
        <w:rPr>
          <w:rStyle w:val="CharStyle7"/>
        </w:rPr>
        <w:t>содержит, в том числе следующие сведения о поставляемом лекарственном препарате:</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МНН ТЕЙКОПЛАНИН</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Торговое наименование: Тейкопланин</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Страна происхождения товара: Республика Индия</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Номер РУ: ЛП-004752 [ГРЛС]</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Наименование держателя или владельца РУ: ООО ДЖОДАС ЭКСПОИМ</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составе заявки победителя закупки (идентификационный номер </w:t>
      </w:r>
      <w:r>
        <w:rPr>
          <w:rStyle w:val="CharStyle7"/>
          <w:lang w:val="en-US" w:eastAsia="en-US"/>
        </w:rPr>
        <w:t xml:space="preserve">29) </w:t>
      </w:r>
      <w:r>
        <w:rPr>
          <w:rStyle w:val="CharStyle7"/>
        </w:rPr>
        <w:t>содержится, в том числе следующие сведения о поставляемом лекарственном препарате:</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МНН ТЕЙКОПЛАНИН</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Торговое наименование: ТЕЙКОПЛАНИН-ДЖИЭФСИ</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Страна происхождения товара: Республика Беларусь</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 xml:space="preserve">Номер РУ: </w:t>
      </w:r>
      <w:r>
        <w:rPr>
          <w:rStyle w:val="CharStyle7"/>
          <w:i/>
          <w:iCs/>
          <w:lang w:val="en-US" w:eastAsia="en-US"/>
        </w:rPr>
        <w:t>ЛП-№(004807)-(РГ-RU)</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Наименование держателя или владельца РУ: ООО ДЖИЭФСИ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ч. </w:t>
      </w:r>
      <w:r>
        <w:rPr>
          <w:rStyle w:val="CharStyle7"/>
          <w:lang w:val="en-US" w:eastAsia="en-US"/>
        </w:rPr>
        <w:t xml:space="preserve">4 </w:t>
      </w:r>
      <w:r>
        <w:rPr>
          <w:rStyle w:val="CharStyle7"/>
        </w:rPr>
        <w:t xml:space="preserve">ст. </w:t>
      </w:r>
      <w:r>
        <w:rPr>
          <w:rStyle w:val="CharStyle7"/>
          <w:lang w:val="en-US" w:eastAsia="en-US"/>
        </w:rPr>
        <w:t xml:space="preserve">106 </w:t>
      </w:r>
      <w:r>
        <w:rPr>
          <w:rStyle w:val="CharStyle7"/>
        </w:rPr>
        <w:t>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обоснование своей позиции Заявитель указывает, что в рамках данной закупочной процедуры участниками закупки поданы следующие ценовые предложения участников: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Заявитель (ООО «Мирра Дом»): </w:t>
      </w:r>
      <w:r>
        <w:rPr>
          <w:rStyle w:val="CharStyle7"/>
          <w:lang w:val="en-US" w:eastAsia="en-US"/>
        </w:rPr>
        <w:t xml:space="preserve">352 936,45 </w:t>
      </w:r>
      <w:r>
        <w:rPr>
          <w:rStyle w:val="CharStyle7"/>
        </w:rPr>
        <w:t>руб.</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Победитель закупки: </w:t>
      </w:r>
      <w:r>
        <w:rPr>
          <w:rStyle w:val="CharStyle7"/>
          <w:lang w:val="en-US" w:eastAsia="en-US"/>
        </w:rPr>
        <w:t xml:space="preserve">354 710,00 </w:t>
      </w:r>
      <w:r>
        <w:rPr>
          <w:rStyle w:val="CharStyle7"/>
        </w:rPr>
        <w:t>руб.</w:t>
      </w:r>
    </w:p>
    <w:p>
      <w:pPr>
        <w:pStyle w:val="Style6"/>
        <w:keepNext w:val="0"/>
        <w:keepLines w:val="0"/>
        <w:widowControl w:val="0"/>
        <w:shd w:val="clear" w:color="auto" w:fill="auto"/>
        <w:bidi w:val="0"/>
        <w:spacing w:before="0" w:after="0" w:line="240" w:lineRule="auto"/>
        <w:ind w:left="0" w:right="0" w:firstLine="700"/>
        <w:jc w:val="both"/>
      </w:pPr>
      <w:r>
        <w:rPr>
          <w:rStyle w:val="CharStyle7"/>
        </w:rPr>
        <w:t>Цена Заявителя является наименьшей среди всех участников.</w:t>
      </w:r>
    </w:p>
    <w:p>
      <w:pPr>
        <w:pStyle w:val="Style6"/>
        <w:keepNext w:val="0"/>
        <w:keepLines w:val="0"/>
        <w:widowControl w:val="0"/>
        <w:shd w:val="clear" w:color="auto" w:fill="auto"/>
        <w:bidi w:val="0"/>
        <w:spacing w:before="0" w:after="0" w:line="240" w:lineRule="auto"/>
        <w:ind w:left="0" w:right="0" w:firstLine="700"/>
        <w:jc w:val="both"/>
      </w:pPr>
      <w:r>
        <w:rPr>
          <w:rStyle w:val="CharStyle7"/>
        </w:rPr>
        <w:t>По мнению Заявителя закупаемый лекарственный препарат МНН: Тейкопланин не включён в перечень жизненно необходимых и важнейших лекарственных препаратов (ЖНВЛП).</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пп. «р» п. 4 Постановления № 1875 устанавливает, что ограничение, предусмотренное пунктом 1 указанного постановления, применяется только при осуществлении закупок лекарственных препаратов, включённых в перечень ЖНВЛП. Поскольку препарат не входит в перечень ЖНВЛП, данное ограничение в рассматриваемой закупке не подлежит применению.</w:t>
      </w:r>
    </w:p>
    <w:p>
      <w:pPr>
        <w:pStyle w:val="Style6"/>
        <w:keepNext w:val="0"/>
        <w:keepLines w:val="0"/>
        <w:widowControl w:val="0"/>
        <w:shd w:val="clear" w:color="auto" w:fill="auto"/>
        <w:bidi w:val="0"/>
        <w:spacing w:before="0" w:after="0" w:line="240" w:lineRule="auto"/>
        <w:ind w:left="0" w:right="0" w:firstLine="700"/>
        <w:jc w:val="both"/>
      </w:pPr>
      <w:r>
        <w:rPr>
          <w:rStyle w:val="CharStyle7"/>
        </w:rPr>
        <w:t>Пп. «б» пункта 4 Постановления № 1875 определяет, что преимущество, предусмотренное пунктом 1, применяется только если объект закупки включает хотя бы один товар, не указанный в приложении № 1 и приложении № 2 к Постановлению №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Приложение № 2 содержит позицию 433 «Препараты лекарственные», которая охватывает все лекарственные препараты (коды ОКПД2 21.10.51, 21.20.1, 21.20.21, 21.20.23). Следовательно, для лекарственных препаратов, не входящих в перечень ЖНВЛП, преимущество по пункту 1 Постановления № 1875 также не применяется.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Управления отмечает, что лекарственный препарат МНН Тейкопланин не входит в перечень ЖНВЛП. Ограничение, предусмотренное п. 1 Постановления № 1875 к настоящей закупке не применяется в силу пп. «р» п. 4 Постановления №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Заявка Заявителя содержала предложение к поставке товара иностранного происхождения.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тем, победителем в составе заявки представлено предложение к поставке товара со страной происхождения: Республика Беларусь следовательно, с учетом применяемого преимущества, установленного п. 1 Постановления № 1875, ценовое предложение победителя при оценке заявок снижено на 15% согласно пп. «а» п. 3 ч. 4 ст. 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Кроме того Комиссией Управления определено, что закупаемый лекарственный препарат МНН ТЕЙКОПЛАНИН кода ОКПД2 21.20.10.191 соответствует п.433 «Препараты лекарственные 21.10.51, 21.20.1, 21.20.21, 21.20.23» приложения №2 к Постановлению №1875.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то же время Комиссией Управления определено, что указанный лекарственный препарат не включен в перечень жизненно необходимых и важнейших лекарственных препаратов для медицинского применения, а также указанный товар отсутствует в перечне стратегически значимых лекарственных средств, производство которых должно быть обеспечено на территории Российской Федерации, в связи с чем Комиссия Управления приходит к выводу, что на лекарственный препарат МНН ТЕЙКОПЛАНИН распространяются защитные меры национального режима в виде преимуществ в отношении товаров российского происхождения.</w:t>
      </w:r>
    </w:p>
    <w:p>
      <w:pPr>
        <w:pStyle w:val="Style6"/>
        <w:keepNext w:val="0"/>
        <w:keepLines w:val="0"/>
        <w:widowControl w:val="0"/>
        <w:shd w:val="clear" w:color="auto" w:fill="auto"/>
        <w:bidi w:val="0"/>
        <w:spacing w:before="0" w:after="0" w:line="240" w:lineRule="auto"/>
        <w:ind w:left="0" w:right="0" w:firstLine="700"/>
        <w:jc w:val="both"/>
        <w:sectPr>
          <w:headerReference w:type="default" r:id="rId12"/>
          <w:footerReference w:type="default" r:id="rId13"/>
          <w:footnotePr>
            <w:pos w:val="pageBottom"/>
            <w:numFmt w:val="decimal"/>
            <w:numRestart w:val="continuous"/>
          </w:footnotePr>
          <w:pgSz w:w="11900" w:h="16840"/>
          <w:pgMar w:top="1143" w:right="543" w:bottom="1133" w:left="1099" w:header="0" w:footer="3" w:gutter="0"/>
          <w:cols w:space="720"/>
          <w:noEndnote/>
          <w:rtlGutter w:val="0"/>
          <w:docGrid w:linePitch="360"/>
        </w:sectPr>
      </w:pPr>
      <w:r>
        <w:rPr>
          <w:rStyle w:val="CharStyle7"/>
        </w:rPr>
        <w:t xml:space="preserve">Кроме того Комиссия Управления отмечает, что согласно Письму Минфина России от 25.07.2025 </w:t>
      </w:r>
      <w:r>
        <w:rPr>
          <w:rStyle w:val="CharStyle7"/>
          <w:lang w:val="en-US" w:eastAsia="en-US"/>
        </w:rPr>
        <w:t xml:space="preserve">N </w:t>
      </w:r>
      <w:r>
        <w:rPr>
          <w:rStyle w:val="CharStyle7"/>
        </w:rPr>
        <w:t>24-06-06/72099 «О применении ограничений и преимуществ в рамках национального режима при закупке лекарственных препаратов и описании товара - объекта закупки, производство которого в РФ отсутствует», согласно пп. «р» п. 4 Постановления № 1875 предусмотренное п. 1 указанного Постановления</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ограничение в отношении лекарственных препаратов, указанных в п. </w:t>
      </w:r>
      <w:r>
        <w:rPr>
          <w:rStyle w:val="CharStyle7"/>
          <w:lang w:val="en-US" w:eastAsia="en-US"/>
        </w:rPr>
        <w:t xml:space="preserve">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w:t>
      </w:r>
      <w:r>
        <w:rPr>
          <w:rStyle w:val="CharStyle7"/>
        </w:rPr>
        <w:t xml:space="preserve">применяется при осуществлении закупок лекарственных препаратов, включенных в перечень жизненно необходимых и важнейших лекарственных препаратов для медицинского применения, утвержденный распоряжением Правительства Российской Федерации от </w:t>
      </w:r>
      <w:r>
        <w:rPr>
          <w:rStyle w:val="CharStyle7"/>
          <w:lang w:val="en-US" w:eastAsia="en-US"/>
        </w:rPr>
        <w:t xml:space="preserve">12.10.2019 № </w:t>
      </w:r>
      <w:r>
        <w:rPr>
          <w:rStyle w:val="CharStyle7"/>
        </w:rPr>
        <w:t xml:space="preserve">2406-р (далее </w:t>
      </w:r>
      <w:r>
        <w:rPr>
          <w:rStyle w:val="CharStyle7"/>
          <w:lang w:val="en-US" w:eastAsia="en-US"/>
        </w:rPr>
        <w:t xml:space="preserve">- </w:t>
      </w:r>
      <w:r>
        <w:rPr>
          <w:rStyle w:val="CharStyle7"/>
        </w:rPr>
        <w:t>Перечень).</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Учитывая изложенное, при осуществлении закупок лекарственных препаратов, не включенных в Перечень, ограничение, предусмотренное п. </w:t>
      </w:r>
      <w:r>
        <w:rPr>
          <w:rStyle w:val="CharStyle7"/>
          <w:lang w:val="en-US" w:eastAsia="en-US"/>
        </w:rPr>
        <w:t xml:space="preserve">1 </w:t>
      </w:r>
      <w:r>
        <w:rPr>
          <w:rStyle w:val="CharStyle7"/>
        </w:rPr>
        <w:t xml:space="preserve">Постановления </w:t>
      </w:r>
      <w:r>
        <w:rPr>
          <w:rStyle w:val="CharStyle7"/>
          <w:lang w:val="en-US" w:eastAsia="en-US"/>
        </w:rPr>
        <w:t xml:space="preserve">№ 1875, </w:t>
      </w:r>
      <w:r>
        <w:rPr>
          <w:rStyle w:val="CharStyle7"/>
        </w:rPr>
        <w:t xml:space="preserve">не применяется, в связи с чем при закупке таких лекарственных препаратов применяется предусмотренное п. </w:t>
      </w:r>
      <w:r>
        <w:rPr>
          <w:rStyle w:val="CharStyle7"/>
          <w:lang w:val="en-US" w:eastAsia="en-US"/>
        </w:rPr>
        <w:t xml:space="preserve">1 </w:t>
      </w:r>
      <w:r>
        <w:rPr>
          <w:rStyle w:val="CharStyle7"/>
        </w:rPr>
        <w:t xml:space="preserve">Постановления </w:t>
      </w:r>
      <w:r>
        <w:rPr>
          <w:rStyle w:val="CharStyle7"/>
          <w:lang w:val="en-US" w:eastAsia="en-US"/>
        </w:rPr>
        <w:t xml:space="preserve">№ 1875 </w:t>
      </w:r>
      <w:r>
        <w:rPr>
          <w:rStyle w:val="CharStyle7"/>
        </w:rPr>
        <w:t>преимущество.</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w:t>
      </w:r>
      <w:r>
        <w:rPr>
          <w:rStyle w:val="CharStyle7"/>
          <w:lang w:val="en-US" w:eastAsia="en-US"/>
        </w:rPr>
        <w:t xml:space="preserve">4 </w:t>
      </w:r>
      <w:r>
        <w:rPr>
          <w:rStyle w:val="CharStyle7"/>
        </w:rPr>
        <w:t xml:space="preserve">ч. </w:t>
      </w:r>
      <w:r>
        <w:rPr>
          <w:rStyle w:val="CharStyle7"/>
          <w:lang w:val="en-US" w:eastAsia="en-US"/>
        </w:rPr>
        <w:t xml:space="preserve">4 </w:t>
      </w:r>
      <w:r>
        <w:rPr>
          <w:rStyle w:val="CharStyle7"/>
        </w:rPr>
        <w:t xml:space="preserve">ст. </w:t>
      </w:r>
      <w:r>
        <w:rPr>
          <w:rStyle w:val="CharStyle7"/>
          <w:lang w:val="en-US" w:eastAsia="en-US"/>
        </w:rPr>
        <w:t xml:space="preserve">49 </w:t>
      </w:r>
      <w:r>
        <w:rPr>
          <w:rStyle w:val="CharStyle7"/>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w:t>
      </w:r>
      <w:r>
        <w:rPr>
          <w:rStyle w:val="CharStyle7"/>
          <w:lang w:val="en-US" w:eastAsia="en-US"/>
        </w:rPr>
        <w:t xml:space="preserve">1 - 8 </w:t>
      </w:r>
      <w:r>
        <w:rPr>
          <w:rStyle w:val="CharStyle7"/>
        </w:rPr>
        <w:t xml:space="preserve">ч. </w:t>
      </w:r>
      <w:r>
        <w:rPr>
          <w:rStyle w:val="CharStyle7"/>
          <w:lang w:val="en-US" w:eastAsia="en-US"/>
        </w:rPr>
        <w:t xml:space="preserve">12 </w:t>
      </w:r>
      <w:r>
        <w:rPr>
          <w:rStyle w:val="CharStyle7"/>
        </w:rPr>
        <w:t xml:space="preserve">ст. </w:t>
      </w:r>
      <w:r>
        <w:rPr>
          <w:rStyle w:val="CharStyle7"/>
          <w:lang w:val="en-US" w:eastAsia="en-US"/>
        </w:rPr>
        <w:t xml:space="preserve">48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rStyle w:val="CharStyle7"/>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11"/>
        </w:numPr>
        <w:shd w:val="clear" w:color="auto" w:fill="auto"/>
        <w:tabs>
          <w:tab w:pos="1119" w:val="left"/>
        </w:tabs>
        <w:bidi w:val="0"/>
        <w:spacing w:before="0" w:after="0" w:line="240" w:lineRule="auto"/>
        <w:ind w:left="0" w:right="0" w:firstLine="740"/>
        <w:jc w:val="both"/>
      </w:pPr>
      <w:r>
        <w:rPr>
          <w:rStyle w:val="CharStyle7"/>
        </w:rPr>
        <w:t xml:space="preserve">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1"/>
        </w:numPr>
        <w:shd w:val="clear" w:color="auto" w:fill="auto"/>
        <w:tabs>
          <w:tab w:pos="1119" w:val="left"/>
        </w:tabs>
        <w:bidi w:val="0"/>
        <w:spacing w:before="0" w:after="0" w:line="240" w:lineRule="auto"/>
        <w:ind w:left="0" w:right="0" w:firstLine="740"/>
        <w:jc w:val="both"/>
      </w:pPr>
      <w:r>
        <w:rPr>
          <w:rStyle w:val="CharStyle7"/>
        </w:rPr>
        <w:t xml:space="preserve">непредставления информации и документов, предусмотренных п. </w:t>
      </w:r>
      <w:r>
        <w:rPr>
          <w:rStyle w:val="CharStyle7"/>
          <w:lang w:val="en-US" w:eastAsia="en-US"/>
        </w:rPr>
        <w:t xml:space="preserve">2 </w:t>
      </w:r>
      <w:r>
        <w:rPr>
          <w:rStyle w:val="CharStyle7"/>
        </w:rPr>
        <w:t xml:space="preserve">и </w:t>
      </w:r>
      <w:r>
        <w:rPr>
          <w:rStyle w:val="CharStyle7"/>
          <w:lang w:val="en-US" w:eastAsia="en-US"/>
        </w:rPr>
        <w:t xml:space="preserve">3 </w:t>
      </w:r>
      <w:r>
        <w:rPr>
          <w:rStyle w:val="CharStyle7"/>
        </w:rPr>
        <w:t xml:space="preserve">ч. </w:t>
      </w:r>
      <w:r>
        <w:rPr>
          <w:rStyle w:val="CharStyle7"/>
          <w:lang w:val="en-US" w:eastAsia="en-US"/>
        </w:rPr>
        <w:t xml:space="preserve">6 </w:t>
      </w:r>
      <w:r>
        <w:rPr>
          <w:rStyle w:val="CharStyle7"/>
        </w:rPr>
        <w:t>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11"/>
        </w:numPr>
        <w:shd w:val="clear" w:color="auto" w:fill="auto"/>
        <w:tabs>
          <w:tab w:pos="1119" w:val="left"/>
        </w:tabs>
        <w:bidi w:val="0"/>
        <w:spacing w:before="0" w:after="0" w:line="240" w:lineRule="auto"/>
        <w:ind w:left="0" w:right="0" w:firstLine="740"/>
        <w:jc w:val="both"/>
      </w:pPr>
      <w:r>
        <w:rPr>
          <w:rStyle w:val="CharStyle7"/>
        </w:rPr>
        <w:t xml:space="preserve">несоответствия участника закупки требованиям, установленным в извещении об осуществлении закупки в соответствии с ч. </w:t>
      </w:r>
      <w:r>
        <w:rPr>
          <w:rStyle w:val="CharStyle7"/>
          <w:lang w:val="en-US" w:eastAsia="en-US"/>
        </w:rPr>
        <w:t xml:space="preserve">1 </w:t>
      </w:r>
      <w:r>
        <w:rPr>
          <w:rStyle w:val="CharStyle7"/>
        </w:rPr>
        <w:t xml:space="preserve">ст. </w:t>
      </w:r>
      <w:r>
        <w:rPr>
          <w:rStyle w:val="CharStyle7"/>
          <w:lang w:val="en-US" w:eastAsia="en-US"/>
        </w:rPr>
        <w:t xml:space="preserve">31 </w:t>
      </w:r>
      <w:r>
        <w:rPr>
          <w:rStyle w:val="CharStyle7"/>
        </w:rPr>
        <w:t xml:space="preserve">Закона о контрактной системе, требованиям, установленным в извещении об осуществлении закупки в соответствии с ч. </w:t>
      </w:r>
      <w:r>
        <w:rPr>
          <w:rStyle w:val="CharStyle7"/>
          <w:lang w:val="en-US" w:eastAsia="en-US"/>
        </w:rPr>
        <w:t xml:space="preserve">1.1, 2 </w:t>
      </w:r>
      <w:r>
        <w:rPr>
          <w:rStyle w:val="CharStyle7"/>
        </w:rPr>
        <w:t xml:space="preserve">и </w:t>
      </w:r>
      <w:r>
        <w:rPr>
          <w:rStyle w:val="CharStyle7"/>
          <w:lang w:val="en-US" w:eastAsia="en-US"/>
        </w:rPr>
        <w:t xml:space="preserve">2.1 </w:t>
      </w:r>
      <w:r>
        <w:rPr>
          <w:rStyle w:val="CharStyle7"/>
        </w:rPr>
        <w:t xml:space="preserve">(при наличии таких требований) ст. </w:t>
      </w:r>
      <w:r>
        <w:rPr>
          <w:rStyle w:val="CharStyle7"/>
          <w:lang w:val="en-US" w:eastAsia="en-US"/>
        </w:rPr>
        <w:t xml:space="preserve">31 </w:t>
      </w:r>
      <w:r>
        <w:rPr>
          <w:rStyle w:val="CharStyle7"/>
        </w:rPr>
        <w:t>Закона о контрактной ситсеме;</w:t>
      </w:r>
    </w:p>
    <w:p>
      <w:pPr>
        <w:pStyle w:val="Style6"/>
        <w:keepNext w:val="0"/>
        <w:keepLines w:val="0"/>
        <w:widowControl w:val="0"/>
        <w:numPr>
          <w:ilvl w:val="0"/>
          <w:numId w:val="11"/>
        </w:numPr>
        <w:shd w:val="clear" w:color="auto" w:fill="auto"/>
        <w:tabs>
          <w:tab w:pos="1114" w:val="left"/>
        </w:tabs>
        <w:bidi w:val="0"/>
        <w:spacing w:before="0" w:after="0" w:line="240" w:lineRule="auto"/>
        <w:ind w:left="0" w:right="0" w:firstLine="740"/>
        <w:jc w:val="both"/>
      </w:pPr>
      <w:r>
        <w:rPr>
          <w:rStyle w:val="CharStyle7"/>
        </w:rPr>
        <w:t xml:space="preserve">предусмотренных пп. «а» п.1 (за исключением случая, предусмотренного п.5 ч.12 ст.48 Закона о контрактной системе), пп. «а» п.2 ч.4, пп. «а» пункта </w:t>
      </w:r>
      <w:r>
        <w:rPr>
          <w:rStyle w:val="CharStyle7"/>
          <w:lang w:val="en-US" w:eastAsia="en-US"/>
        </w:rPr>
        <w:t xml:space="preserve">1 </w:t>
      </w:r>
      <w:r>
        <w:rPr>
          <w:rStyle w:val="CharStyle7"/>
        </w:rPr>
        <w:t>(за исключением случая, предусмотренного п.5 ч.12 ст.48 Закона о контрактной системе), п.2 ч.5 ст.14 Закона о контрактной системе);</w:t>
      </w:r>
    </w:p>
    <w:p>
      <w:pPr>
        <w:pStyle w:val="Style6"/>
        <w:keepNext w:val="0"/>
        <w:keepLines w:val="0"/>
        <w:widowControl w:val="0"/>
        <w:numPr>
          <w:ilvl w:val="0"/>
          <w:numId w:val="11"/>
        </w:numPr>
        <w:shd w:val="clear" w:color="auto" w:fill="auto"/>
        <w:tabs>
          <w:tab w:pos="1110" w:val="left"/>
        </w:tabs>
        <w:bidi w:val="0"/>
        <w:spacing w:before="0" w:after="0" w:line="295" w:lineRule="auto"/>
        <w:ind w:left="0" w:right="0" w:firstLine="740"/>
        <w:jc w:val="both"/>
        <w:rPr>
          <w:sz w:val="24"/>
          <w:szCs w:val="24"/>
        </w:rPr>
        <w:sectPr>
          <w:headerReference w:type="default" r:id="rId14"/>
          <w:footerReference w:type="default" r:id="rId15"/>
          <w:footnotePr>
            <w:pos w:val="pageBottom"/>
            <w:numFmt w:val="decimal"/>
            <w:numRestart w:val="continuous"/>
          </w:footnotePr>
          <w:pgSz w:w="11900" w:h="16840"/>
          <w:pgMar w:top="1162" w:right="541" w:bottom="653" w:left="1101" w:header="0" w:footer="225" w:gutter="0"/>
          <w:cols w:space="720"/>
          <w:noEndnote/>
          <w:rtlGutter w:val="0"/>
          <w:docGrid w:linePitch="360"/>
        </w:sectPr>
      </w:pPr>
      <w:r>
        <w:rPr>
          <w:rStyle w:val="CharStyle7"/>
        </w:rPr>
        <w:t xml:space="preserve">непредставления информации и документов, предусмотренных п.5 ч.1 ст.43 Закона о контрактной системе, если такие информация и документы </w:t>
      </w:r>
      <w:r>
        <w:rPr>
          <w:rStyle w:val="CharStyle7"/>
          <w:sz w:val="24"/>
          <w:szCs w:val="24"/>
          <w:lang w:val="en-US" w:eastAsia="en-US"/>
        </w:rPr>
        <w:t>2026-23713</w:t>
      </w:r>
    </w:p>
    <w:p>
      <w:pPr>
        <w:pStyle w:val="Style6"/>
        <w:keepNext w:val="0"/>
        <w:keepLines w:val="0"/>
        <w:widowControl w:val="0"/>
        <w:shd w:val="clear" w:color="auto" w:fill="auto"/>
        <w:bidi w:val="0"/>
        <w:spacing w:before="0" w:after="0" w:line="240" w:lineRule="auto"/>
        <w:ind w:left="0" w:right="0" w:firstLine="0"/>
        <w:jc w:val="both"/>
      </w:pPr>
      <w:r>
        <w:rPr>
          <w:rStyle w:val="CharStyle7"/>
        </w:rPr>
        <w:t>определены в соответствии с п.2 ч.2 ст.14 Закона о контрактной системе (в случае установления в соответствии с пп. «а» п.1 ч.2 ст.14 Закона о контрактной системе в извещении об осуществлении закупки запрета закупок товара, происходящего из иностранного государства);</w:t>
      </w:r>
    </w:p>
    <w:p>
      <w:pPr>
        <w:pStyle w:val="Style6"/>
        <w:keepNext w:val="0"/>
        <w:keepLines w:val="0"/>
        <w:widowControl w:val="0"/>
        <w:numPr>
          <w:ilvl w:val="0"/>
          <w:numId w:val="11"/>
        </w:numPr>
        <w:shd w:val="clear" w:color="auto" w:fill="auto"/>
        <w:tabs>
          <w:tab w:pos="1173" w:val="left"/>
        </w:tabs>
        <w:bidi w:val="0"/>
        <w:spacing w:before="0" w:after="0" w:line="240" w:lineRule="auto"/>
        <w:ind w:left="0" w:right="0" w:firstLine="740"/>
        <w:jc w:val="both"/>
      </w:pPr>
      <w:r>
        <w:rPr>
          <w:rStyle w:val="CharStyle7"/>
        </w:rPr>
        <w:t xml:space="preserve">выявления отнесения участника закупки к организациям, предусмотренным п. </w:t>
      </w:r>
      <w:r>
        <w:rPr>
          <w:rStyle w:val="CharStyle7"/>
          <w:lang w:val="en-US" w:eastAsia="en-US"/>
        </w:rPr>
        <w:t xml:space="preserve">4 </w:t>
      </w:r>
      <w:r>
        <w:rPr>
          <w:rStyle w:val="CharStyle7"/>
        </w:rPr>
        <w:t xml:space="preserve">ст. </w:t>
      </w:r>
      <w:r>
        <w:rPr>
          <w:rStyle w:val="CharStyle7"/>
          <w:lang w:val="en-US" w:eastAsia="en-US"/>
        </w:rPr>
        <w:t xml:space="preserve">2 </w:t>
      </w:r>
      <w:r>
        <w:rPr>
          <w:rStyle w:val="CharStyle7"/>
        </w:rPr>
        <w:t xml:space="preserve">Федерального закона от </w:t>
      </w:r>
      <w:r>
        <w:rPr>
          <w:rStyle w:val="CharStyle7"/>
          <w:lang w:val="en-US" w:eastAsia="en-US"/>
        </w:rPr>
        <w:t xml:space="preserve">4 </w:t>
      </w:r>
      <w:r>
        <w:rPr>
          <w:rStyle w:val="CharStyle7"/>
        </w:rPr>
        <w:t xml:space="preserve">июня </w:t>
      </w:r>
      <w:r>
        <w:rPr>
          <w:rStyle w:val="CharStyle7"/>
          <w:lang w:val="en-US" w:eastAsia="en-US"/>
        </w:rPr>
        <w:t xml:space="preserve">2018 </w:t>
      </w:r>
      <w:r>
        <w:rPr>
          <w:rStyle w:val="CharStyle7"/>
        </w:rPr>
        <w:t xml:space="preserve">года </w:t>
      </w:r>
      <w:r>
        <w:rPr>
          <w:rStyle w:val="CharStyle7"/>
          <w:lang w:val="en-US" w:eastAsia="en-US"/>
        </w:rPr>
        <w:t xml:space="preserve">№ </w:t>
      </w:r>
      <w:r>
        <w:rPr>
          <w:rStyle w:val="CharStyle7"/>
        </w:rPr>
        <w:t>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11"/>
        </w:numPr>
        <w:shd w:val="clear" w:color="auto" w:fill="auto"/>
        <w:tabs>
          <w:tab w:pos="1834" w:val="left"/>
        </w:tabs>
        <w:bidi w:val="0"/>
        <w:spacing w:before="0" w:after="0" w:line="240" w:lineRule="auto"/>
        <w:ind w:left="0" w:right="0" w:firstLine="740"/>
        <w:jc w:val="both"/>
      </w:pPr>
      <w:r>
        <w:rPr>
          <w:rStyle w:val="CharStyle7"/>
        </w:rPr>
        <w:t xml:space="preserve">предусмотренных ч. </w:t>
      </w:r>
      <w:r>
        <w:rPr>
          <w:rStyle w:val="CharStyle7"/>
          <w:lang w:val="en-US" w:eastAsia="en-US"/>
        </w:rPr>
        <w:t xml:space="preserve">6 </w:t>
      </w:r>
      <w:r>
        <w:rPr>
          <w:rStyle w:val="CharStyle7"/>
        </w:rPr>
        <w:t xml:space="preserve">ст. </w:t>
      </w:r>
      <w:r>
        <w:rPr>
          <w:rStyle w:val="CharStyle7"/>
          <w:lang w:val="en-US" w:eastAsia="en-US"/>
        </w:rPr>
        <w:t xml:space="preserve">45 </w:t>
      </w:r>
      <w:r>
        <w:rPr>
          <w:rStyle w:val="CharStyle7"/>
        </w:rPr>
        <w:t>Закона о контрактной системе;</w:t>
      </w:r>
    </w:p>
    <w:p>
      <w:pPr>
        <w:pStyle w:val="Style6"/>
        <w:keepNext w:val="0"/>
        <w:keepLines w:val="0"/>
        <w:widowControl w:val="0"/>
        <w:numPr>
          <w:ilvl w:val="0"/>
          <w:numId w:val="11"/>
        </w:numPr>
        <w:shd w:val="clear" w:color="auto" w:fill="auto"/>
        <w:tabs>
          <w:tab w:pos="1169" w:val="left"/>
        </w:tabs>
        <w:bidi w:val="0"/>
        <w:spacing w:before="0" w:after="0" w:line="240" w:lineRule="auto"/>
        <w:ind w:left="0" w:right="0" w:firstLine="740"/>
        <w:jc w:val="both"/>
      </w:pPr>
      <w:r>
        <w:rPr>
          <w:rStyle w:val="CharStyle7"/>
        </w:rPr>
        <w:t>выявления недостоверной информации, содержащейся в заявке на участие в закупке;</w:t>
      </w:r>
    </w:p>
    <w:p>
      <w:pPr>
        <w:pStyle w:val="Style6"/>
        <w:keepNext w:val="0"/>
        <w:keepLines w:val="0"/>
        <w:widowControl w:val="0"/>
        <w:numPr>
          <w:ilvl w:val="0"/>
          <w:numId w:val="11"/>
        </w:numPr>
        <w:shd w:val="clear" w:color="auto" w:fill="auto"/>
        <w:tabs>
          <w:tab w:pos="1169" w:val="left"/>
        </w:tabs>
        <w:bidi w:val="0"/>
        <w:spacing w:before="0" w:after="0" w:line="240" w:lineRule="auto"/>
        <w:ind w:left="0" w:right="0" w:firstLine="740"/>
        <w:jc w:val="both"/>
      </w:pPr>
      <w:r>
        <w:rPr>
          <w:rStyle w:val="CharStyle7"/>
        </w:rPr>
        <w:t xml:space="preserve">указания информации о предложении участника закупки, предусмотренном п. </w:t>
      </w:r>
      <w:r>
        <w:rPr>
          <w:rStyle w:val="CharStyle7"/>
          <w:lang w:val="en-US" w:eastAsia="en-US"/>
        </w:rPr>
        <w:t xml:space="preserve">3 </w:t>
      </w:r>
      <w:r>
        <w:rPr>
          <w:rStyle w:val="CharStyle7"/>
        </w:rPr>
        <w:t xml:space="preserve">или п. </w:t>
      </w:r>
      <w:r>
        <w:rPr>
          <w:rStyle w:val="CharStyle7"/>
          <w:lang w:val="en-US" w:eastAsia="en-US"/>
        </w:rPr>
        <w:t xml:space="preserve">4 </w:t>
      </w:r>
      <w:r>
        <w:rPr>
          <w:rStyle w:val="CharStyle7"/>
        </w:rPr>
        <w:t xml:space="preserve">ч. </w:t>
      </w:r>
      <w:r>
        <w:rPr>
          <w:rStyle w:val="CharStyle7"/>
          <w:lang w:val="en-US" w:eastAsia="en-US"/>
        </w:rPr>
        <w:t xml:space="preserve">1 </w:t>
      </w:r>
      <w:r>
        <w:rPr>
          <w:rStyle w:val="CharStyle7"/>
        </w:rPr>
        <w:t xml:space="preserve">ст. </w:t>
      </w:r>
      <w:r>
        <w:rPr>
          <w:rStyle w:val="CharStyle7"/>
          <w:lang w:val="en-US" w:eastAsia="en-US"/>
        </w:rPr>
        <w:t xml:space="preserve">43 </w:t>
      </w:r>
      <w:r>
        <w:rPr>
          <w:rStyle w:val="CharStyle7"/>
        </w:rPr>
        <w:t>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rStyle w:val="CharStyle7"/>
        </w:rPr>
        <w:t>Таким образом, Комиссия Управления приходит к выводу, что решение комиссии Заказчика в части применения преимущества к заявке победителя закупки является правомерным и не нарушает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sectPr>
          <w:headerReference w:type="default" r:id="rId16"/>
          <w:footerReference w:type="default" r:id="rId17"/>
          <w:footnotePr>
            <w:pos w:val="pageBottom"/>
            <w:numFmt w:val="decimal"/>
            <w:numRestart w:val="continuous"/>
          </w:footnotePr>
          <w:pgSz w:w="11900" w:h="16840"/>
          <w:pgMar w:top="1162" w:right="541" w:bottom="1162" w:left="1101" w:header="0" w:footer="3" w:gutter="0"/>
          <w:cols w:space="720"/>
          <w:noEndnote/>
          <w:rtlGutter w:val="0"/>
          <w:docGrid w:linePitch="360"/>
        </w:sectPr>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20" w:line="240" w:lineRule="auto"/>
        <w:ind w:left="0" w:right="0" w:firstLine="0"/>
        <w:jc w:val="center"/>
      </w:pPr>
      <w:r>
        <w:rPr>
          <w:rStyle w:val="CharStyle7"/>
          <w:b/>
          <w:bCs/>
        </w:rPr>
        <w:t>РЕШИЛА:</w:t>
      </w:r>
    </w:p>
    <w:p>
      <w:pPr>
        <w:pStyle w:val="Style6"/>
        <w:keepNext w:val="0"/>
        <w:keepLines w:val="0"/>
        <w:widowControl w:val="0"/>
        <w:numPr>
          <w:ilvl w:val="0"/>
          <w:numId w:val="13"/>
        </w:numPr>
        <w:shd w:val="clear" w:color="auto" w:fill="auto"/>
        <w:tabs>
          <w:tab w:pos="1088" w:val="left"/>
        </w:tabs>
        <w:bidi w:val="0"/>
        <w:spacing w:before="0" w:after="0" w:line="240" w:lineRule="auto"/>
        <w:ind w:left="0" w:right="0" w:firstLine="720"/>
        <w:jc w:val="both"/>
      </w:pPr>
      <w:r>
        <w:rPr>
          <w:rStyle w:val="CharStyle7"/>
        </w:rPr>
        <w:t>Признать жалобу ООО «Мирра Дом» на действия комиссии ФГБУ «НМИЦ ТО им. Н.Н. Приорова» Минздрава России необоснованной.</w:t>
      </w:r>
    </w:p>
    <w:p>
      <w:pPr>
        <w:pStyle w:val="Style6"/>
        <w:keepNext w:val="0"/>
        <w:keepLines w:val="0"/>
        <w:widowControl w:val="0"/>
        <w:numPr>
          <w:ilvl w:val="0"/>
          <w:numId w:val="13"/>
        </w:numPr>
        <w:shd w:val="clear" w:color="auto" w:fill="auto"/>
        <w:tabs>
          <w:tab w:pos="1117" w:val="left"/>
        </w:tabs>
        <w:bidi w:val="0"/>
        <w:spacing w:before="0" w:after="520" w:line="240" w:lineRule="auto"/>
        <w:ind w:left="0" w:right="0" w:firstLine="720"/>
        <w:jc w:val="both"/>
      </w:pPr>
      <w:r>
        <w:rPr>
          <w:rStyle w:val="CharStyle7"/>
        </w:rPr>
        <w:t>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footnotePr>
            <w:pos w:val="pageBottom"/>
            <w:numFmt w:val="decimal"/>
            <w:numRestart w:val="continuous"/>
          </w:footnotePr>
          <w:pgSz w:w="11900" w:h="16840"/>
          <w:pgMar w:top="1158" w:right="551" w:bottom="1628" w:left="1106" w:header="0" w:footer="3" w:gutter="0"/>
          <w:cols w:space="720"/>
          <w:noEndnote/>
          <w:rtlGutter w:val="0"/>
          <w:docGrid w:linePitch="360"/>
        </w:sectPr>
      </w:pPr>
      <w:r>
        <mc:AlternateContent>
          <mc:Choice Requires="wps">
            <w:drawing>
              <wp:anchor distT="127000" distB="215900" distL="0" distR="0" simplePos="0" relativeHeight="125829381" behindDoc="0" locked="0" layoutInCell="1" allowOverlap="1">
                <wp:simplePos x="0" y="0"/>
                <wp:positionH relativeFrom="page">
                  <wp:posOffset>739140</wp:posOffset>
                </wp:positionH>
                <wp:positionV relativeFrom="paragraph">
                  <wp:posOffset>127000</wp:posOffset>
                </wp:positionV>
                <wp:extent cx="1844040" cy="250190"/>
                <wp:wrapTopAndBottom/>
                <wp:docPr id="23" name="Shape 23"/>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9" type="#_x0000_t202" style="position:absolute;margin-left:58.200000000000003pt;margin-top:10.pt;width:145.20000000000002pt;height:19.699999999999999pt;z-index:-125829372;mso-wrap-distance-left:0;mso-wrap-distance-top:10.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196850" distB="0" distL="0" distR="1786255" simplePos="0" relativeHeight="125829383" behindDoc="0" locked="0" layoutInCell="1" allowOverlap="1">
            <wp:simplePos x="0" y="0"/>
            <wp:positionH relativeFrom="page">
              <wp:posOffset>3086100</wp:posOffset>
            </wp:positionH>
            <wp:positionV relativeFrom="paragraph">
              <wp:posOffset>196850</wp:posOffset>
            </wp:positionV>
            <wp:extent cx="359410" cy="39624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8"/>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3506470</wp:posOffset>
                </wp:positionH>
                <wp:positionV relativeFrom="paragraph">
                  <wp:posOffset>285115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6.10000000000002pt;margin-top:22.449999999999999pt;width:135.59999999999999pt;height:20.400000000000002pt;z-index:25165772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15900" distL="0" distR="0" simplePos="0" relativeHeight="125829384" behindDoc="0" locked="0" layoutInCell="1" allowOverlap="1">
                <wp:simplePos x="0" y="0"/>
                <wp:positionH relativeFrom="page">
                  <wp:posOffset>5850890</wp:posOffset>
                </wp:positionH>
                <wp:positionV relativeFrom="paragraph">
                  <wp:posOffset>127000</wp:posOffset>
                </wp:positionV>
                <wp:extent cx="1356360" cy="250190"/>
                <wp:wrapTopAndBottom/>
                <wp:docPr id="29" name="Shape 29"/>
                <a:graphic xmlns:a="http://schemas.openxmlformats.org/drawingml/2006/main">
                  <a:graphicData uri="http://schemas.microsoft.com/office/word/2010/wordprocessingShape">
                    <wps:wsp>
                      <wps:cNvSpPr txBox="1"/>
                      <wps:spPr>
                        <a:xfrm>
                          <a:ext cx="135636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А.А. Кутейников</w:t>
                            </w:r>
                          </w:p>
                        </w:txbxContent>
                      </wps:txbx>
                      <wps:bodyPr wrap="none" lIns="0" tIns="0" rIns="0" bIns="0">
                        <a:noAutoFit/>
                      </wps:bodyPr>
                    </wps:wsp>
                  </a:graphicData>
                </a:graphic>
              </wp:anchor>
            </w:drawing>
          </mc:Choice>
          <mc:Fallback>
            <w:pict>
              <v:shape id="_x0000_s1055" type="#_x0000_t202" style="position:absolute;margin-left:460.69999999999999pt;margin-top:10.pt;width:106.8pt;height:19.699999999999999pt;z-index:-125829369;mso-wrap-distance-left:0;mso-wrap-distance-top:10.pt;mso-wrap-distance-right:0;mso-wrap-distance-bottom:17.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rStyle w:val="CharStyle7"/>
                        </w:rPr>
                        <w:t>А.А. Кутейников</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80" w:right="0" w:firstLine="0"/>
        <w:jc w:val="left"/>
        <w:rPr>
          <w:sz w:val="12"/>
          <w:szCs w:val="12"/>
        </w:rPr>
      </w:pPr>
      <w:r>
        <w:rPr>
          <w:rStyle w:val="CharStyle21"/>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Кутейников Антон Андреевич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67950889C45403E5BD9EBC88A8D80C0D</w:t>
      </w:r>
    </w:p>
    <w:p>
      <w:pPr>
        <w:pStyle w:val="Style23"/>
        <w:keepNext w:val="0"/>
        <w:keepLines w:val="0"/>
        <w:widowControl w:val="0"/>
        <w:shd w:val="clear" w:color="auto" w:fill="auto"/>
        <w:bidi w:val="0"/>
        <w:spacing w:before="0" w:after="500" w:line="240" w:lineRule="auto"/>
        <w:ind w:right="0" w:firstLine="0"/>
        <w:jc w:val="left"/>
      </w:pPr>
      <w:r>
        <mc:AlternateContent>
          <mc:Choice Requires="wps">
            <w:drawing>
              <wp:anchor distT="0" distB="0" distL="114300" distR="114300" simplePos="0" relativeHeight="125829386" behindDoc="0" locked="0" layoutInCell="1" allowOverlap="1">
                <wp:simplePos x="0" y="0"/>
                <wp:positionH relativeFrom="page">
                  <wp:posOffset>735965</wp:posOffset>
                </wp:positionH>
                <wp:positionV relativeFrom="paragraph">
                  <wp:posOffset>254000</wp:posOffset>
                </wp:positionV>
                <wp:extent cx="1344295" cy="252730"/>
                <wp:wrapSquare wrapText="right"/>
                <wp:docPr id="31" name="Shape 31"/>
                <a:graphic xmlns:a="http://schemas.openxmlformats.org/drawingml/2006/main">
                  <a:graphicData uri="http://schemas.microsoft.com/office/word/2010/wordprocessingShape">
                    <wps:wsp>
                      <wps:cNvSpPr txBox="1"/>
                      <wps:spPr>
                        <a:xfrm>
                          <a:ext cx="134429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57" type="#_x0000_t202" style="position:absolute;margin-left:57.950000000000003pt;margin-top:20.pt;width:105.85000000000001pt;height:19.900000000000002pt;z-index:-125829367;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square" side="right" anchorx="page"/>
              </v:shape>
            </w:pict>
          </mc:Fallback>
        </mc:AlternateContent>
      </w:r>
      <w:r>
        <mc:AlternateContent>
          <mc:Choice Requires="wps">
            <w:drawing>
              <wp:anchor distT="0" distB="0" distL="114300" distR="114300" simplePos="0" relativeHeight="125829388" behindDoc="0" locked="0" layoutInCell="1" allowOverlap="1">
                <wp:simplePos x="0" y="0"/>
                <wp:positionH relativeFrom="page">
                  <wp:posOffset>6100445</wp:posOffset>
                </wp:positionH>
                <wp:positionV relativeFrom="paragraph">
                  <wp:posOffset>254000</wp:posOffset>
                </wp:positionV>
                <wp:extent cx="1118870" cy="252730"/>
                <wp:wrapSquare wrapText="bothSides"/>
                <wp:docPr id="33" name="Shape 33"/>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59" type="#_x0000_t202" style="position:absolute;margin-left:480.35000000000002pt;margin-top:20.pt;width:88.100000000000009pt;height:19.900000000000002pt;z-index:-12582936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square" anchorx="page"/>
              </v:shape>
            </w:pict>
          </mc:Fallback>
        </mc:AlternateContent>
      </w:r>
      <w:r>
        <w:rPr>
          <w:rStyle w:val="CharStyle24"/>
        </w:rPr>
        <w:t xml:space="preserve">Действителен с 19.05.2025 </w:t>
      </w:r>
      <w:r>
        <w:rPr>
          <w:rStyle w:val="CharStyle24"/>
          <w:color w:val="5E5E5E"/>
        </w:rPr>
        <w:t xml:space="preserve">по </w:t>
      </w:r>
      <w:r>
        <w:rPr>
          <w:rStyle w:val="CharStyle24"/>
        </w:rPr>
        <w:t>12.08.2026</w:t>
      </w:r>
    </w:p>
    <w:p>
      <w:pPr>
        <w:pStyle w:val="Style20"/>
        <w:keepNext w:val="0"/>
        <w:keepLines w:val="0"/>
        <w:widowControl w:val="0"/>
        <w:shd w:val="clear" w:color="auto" w:fill="auto"/>
        <w:bidi w:val="0"/>
        <w:spacing w:before="0" w:after="90" w:line="240" w:lineRule="auto"/>
        <w:ind w:left="4420" w:right="0" w:hanging="2340"/>
        <w:jc w:val="left"/>
      </w:pPr>
      <w:r>
        <w:rPr>
          <w:rStyle w:val="CharStyle21"/>
        </w:rPr>
        <w:t>Подлинник электронного документа, подписанного ЭП, хранится в системе электронного документооборота ФАС России</w: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480" w:right="0" w:firstLine="0"/>
        <w:jc w:val="left"/>
        <w:rPr>
          <w:sz w:val="12"/>
          <w:szCs w:val="12"/>
        </w:rPr>
      </w:pPr>
      <w:r>
        <w:rPr>
          <w:rStyle w:val="CharStyle21"/>
          <w:color w:val="FFFFFF"/>
          <w:sz w:val="12"/>
          <w:szCs w:val="12"/>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00FDA1C988AAB27A9A34756B8D5F1D853</w:t>
      </w:r>
      <w:r>
        <w:rPr>
          <w:rStyle w:val="CharStyle24"/>
          <w:lang w:val="en-US" w:eastAsia="en-US"/>
        </w:rPr>
        <w:t>A</w:t>
      </w:r>
    </w:p>
    <w:p>
      <w:pPr>
        <w:pStyle w:val="Style23"/>
        <w:keepNext w:val="0"/>
        <w:keepLines w:val="0"/>
        <w:widowControl w:val="0"/>
        <w:shd w:val="clear" w:color="auto" w:fill="auto"/>
        <w:bidi w:val="0"/>
        <w:spacing w:before="0" w:after="300" w:line="240" w:lineRule="auto"/>
        <w:ind w:right="0" w:firstLine="0"/>
        <w:jc w:val="left"/>
      </w:pPr>
      <w:r>
        <w:rPr>
          <w:rStyle w:val="CharStyle24"/>
        </w:rPr>
        <w:t xml:space="preserve">Действителен с 22.07.2025 </w:t>
      </w:r>
      <w:r>
        <w:rPr>
          <w:rStyle w:val="CharStyle24"/>
          <w:color w:val="5E5E5E"/>
        </w:rPr>
        <w:t xml:space="preserve">по </w:t>
      </w:r>
      <w:r>
        <w:rPr>
          <w:rStyle w:val="CharStyle24"/>
        </w:rPr>
        <w:t>15.10.2026</w:t>
      </w:r>
    </w:p>
    <w:p>
      <w:pPr>
        <w:pStyle w:val="Style6"/>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0" behindDoc="0" locked="0" layoutInCell="1" allowOverlap="1">
            <wp:simplePos x="0" y="0"/>
            <wp:positionH relativeFrom="page">
              <wp:posOffset>3086100</wp:posOffset>
            </wp:positionH>
            <wp:positionV relativeFrom="paragraph">
              <wp:posOffset>50800</wp:posOffset>
            </wp:positionV>
            <wp:extent cx="359410" cy="530225"/>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0"/>
                    <a:stretch/>
                  </pic:blipFill>
                  <pic:spPr>
                    <a:xfrm>
                      <a:ext cx="359410" cy="53022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3546475</wp:posOffset>
                </wp:positionH>
                <wp:positionV relativeFrom="paragraph">
                  <wp:posOffset>465455</wp:posOffset>
                </wp:positionV>
                <wp:extent cx="1283335" cy="100330"/>
                <wp:wrapNone/>
                <wp:docPr id="37" name="Shape 3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79.25pt;margin-top:36.649999999999999pt;width:101.05pt;height:7.9000000000000004pt;z-index:251657731;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8"/>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3506470</wp:posOffset>
                </wp:positionH>
                <wp:positionV relativeFrom="paragraph">
                  <wp:posOffset>148590</wp:posOffset>
                </wp:positionV>
                <wp:extent cx="1722120" cy="259080"/>
                <wp:wrapNone/>
                <wp:docPr id="39" name="Shape 3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76.10000000000002pt;margin-top:11.700000000000001pt;width:135.59999999999999pt;height:20.400000000000002pt;z-index:251657733;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Гелмутдинова</w:t>
      </w:r>
    </w:p>
    <w:p>
      <w:pPr>
        <w:pStyle w:val="Style23"/>
        <w:keepNext w:val="0"/>
        <w:keepLines w:val="0"/>
        <w:widowControl w:val="0"/>
        <w:shd w:val="clear" w:color="auto" w:fill="auto"/>
        <w:bidi w:val="0"/>
        <w:spacing w:before="0" w:after="0" w:line="266" w:lineRule="auto"/>
        <w:ind w:right="0" w:firstLine="0"/>
        <w:jc w:val="left"/>
      </w:pPr>
      <w:r>
        <w:rPr>
          <w:rStyle w:val="CharStyle24"/>
        </w:rPr>
        <w:t xml:space="preserve">Кому выдан: </w:t>
      </w:r>
      <w:r>
        <w:rPr>
          <w:rStyle w:val="CharStyle24"/>
          <w:color w:val="000000"/>
        </w:rPr>
        <w:t>ГЕЛМУТДИНОВА АНАСТАСИЯ СЕРГЕЕВНА</w:t>
      </w:r>
      <w:r>
        <w:rPr>
          <w:rStyle w:val="CharStyle24"/>
          <w:color w:val="000000"/>
        </w:rPr>
        <w:t xml:space="preserve"> </w:t>
      </w:r>
      <w:r>
        <w:rPr>
          <w:rStyle w:val="CharStyle24"/>
        </w:rPr>
        <w:t xml:space="preserve">Сертификат </w:t>
      </w:r>
      <w:r>
        <w:rPr>
          <w:rStyle w:val="CharStyle24"/>
          <w:color w:val="292929"/>
        </w:rPr>
        <w:t xml:space="preserve">№ </w:t>
      </w:r>
      <w:r>
        <w:rPr>
          <w:rStyle w:val="CharStyle24"/>
        </w:rPr>
        <w:t>723501СС21703599976371</w:t>
      </w:r>
      <w:r>
        <w:rPr>
          <w:rStyle w:val="CharStyle24"/>
          <w:lang w:val="en-US" w:eastAsia="en-US"/>
        </w:rPr>
        <w:t>4F5C652689</w:t>
      </w:r>
    </w:p>
    <w:p>
      <w:pPr>
        <w:pStyle w:val="Style23"/>
        <w:keepNext w:val="0"/>
        <w:keepLines w:val="0"/>
        <w:widowControl w:val="0"/>
        <w:shd w:val="clear" w:color="auto" w:fill="auto"/>
        <w:bidi w:val="0"/>
        <w:spacing w:before="0" w:after="4760" w:line="266" w:lineRule="auto"/>
        <w:ind w:right="0" w:firstLine="0"/>
        <w:jc w:val="left"/>
      </w:pPr>
      <w:r>
        <w:rPr>
          <w:rStyle w:val="CharStyle24"/>
        </w:rPr>
        <w:t xml:space="preserve">Действителен с 09.02.2026 </w:t>
      </w:r>
      <w:r>
        <w:rPr>
          <w:rStyle w:val="CharStyle24"/>
          <w:color w:val="5E5E5E"/>
        </w:rPr>
        <w:t xml:space="preserve">по </w:t>
      </w:r>
      <w:r>
        <w:rPr>
          <w:rStyle w:val="CharStyle24"/>
        </w:rPr>
        <w:t>05.05.2027</w:t>
      </w:r>
    </w:p>
    <w:p>
      <w:pPr>
        <w:pStyle w:val="Style28"/>
        <w:keepNext w:val="0"/>
        <w:keepLines w:val="0"/>
        <w:widowControl w:val="0"/>
        <w:shd w:val="clear" w:color="auto" w:fill="auto"/>
        <w:bidi w:val="0"/>
        <w:spacing w:before="0" w:line="240" w:lineRule="auto"/>
        <w:ind w:left="0" w:right="0" w:firstLine="0"/>
        <w:jc w:val="both"/>
      </w:pPr>
      <w:r>
        <w:rPr>
          <w:rStyle w:val="CharStyle29"/>
        </w:rPr>
        <w:t>Исп.Мацнева М.О. тел.8(495)784-75-05</w:t>
      </w:r>
    </w:p>
    <w:sectPr>
      <w:footnotePr>
        <w:pos w:val="pageBottom"/>
        <w:numFmt w:val="decimal"/>
        <w:numRestart w:val="continuous"/>
      </w:footnotePr>
      <w:type w:val="continuous"/>
      <w:pgSz w:w="11900" w:h="16840"/>
      <w:pgMar w:top="1158" w:right="551"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10217150</wp:posOffset>
              </wp:positionV>
              <wp:extent cx="737870" cy="125095"/>
              <wp:wrapNone/>
              <wp:docPr id="5" name="Shape 5"/>
              <a:graphic xmlns:a="http://schemas.openxmlformats.org/drawingml/2006/main">
                <a:graphicData uri="http://schemas.microsoft.com/office/word/2010/wordprocessingShape">
                  <wps:wsp>
                    <wps:cNvSpPr txBox="1"/>
                    <wps:spPr>
                      <a:xfrm>
                        <a:ext cx="737870" cy="12509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2026-23713</w:t>
                          </w:r>
                        </w:p>
                      </w:txbxContent>
                    </wps:txbx>
                    <wps:bodyPr wrap="none" lIns="0" tIns="0" rIns="0" bIns="0">
                      <a:spAutoFit/>
                    </wps:bodyPr>
                  </wps:wsp>
                </a:graphicData>
              </a:graphic>
            </wp:anchor>
          </w:drawing>
        </mc:Choice>
        <mc:Fallback>
          <w:pict>
            <v:shape id="_x0000_s1031" type="#_x0000_t202" style="position:absolute;margin-left:56.75pt;margin-top:804.5pt;width:58.100000000000001pt;height:9.8499999999999996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2026-23713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726440</wp:posOffset>
              </wp:positionH>
              <wp:positionV relativeFrom="page">
                <wp:posOffset>10098405</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2026-23713</w:t>
                          </w:r>
                        </w:p>
                      </w:txbxContent>
                    </wps:txbx>
                    <wps:bodyPr wrap="none" lIns="0" tIns="0" rIns="0" bIns="0">
                      <a:spAutoFit/>
                    </wps:bodyPr>
                  </wps:wsp>
                </a:graphicData>
              </a:graphic>
            </wp:anchor>
          </w:drawing>
        </mc:Choice>
        <mc:Fallback>
          <w:pict>
            <v:shape id="_x0000_s1035" type="#_x0000_t202" style="position:absolute;margin-left:57.200000000000003pt;margin-top:795.14999999999998pt;width:56.899999999999999pt;height:8.15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2026-23713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10098405</wp:posOffset>
              </wp:positionV>
              <wp:extent cx="722630" cy="103505"/>
              <wp:wrapNone/>
              <wp:docPr id="15" name="Shape 1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2026-23713</w:t>
                          </w:r>
                        </w:p>
                      </w:txbxContent>
                    </wps:txbx>
                    <wps:bodyPr wrap="none" lIns="0" tIns="0" rIns="0" bIns="0">
                      <a:spAutoFit/>
                    </wps:bodyPr>
                  </wps:wsp>
                </a:graphicData>
              </a:graphic>
            </wp:anchor>
          </w:drawing>
        </mc:Choice>
        <mc:Fallback>
          <w:pict>
            <v:shape id="_x0000_s1041" type="#_x0000_t202" style="position:absolute;margin-left:57.200000000000003pt;margin-top:795.14999999999998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2026-23713</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10098405</wp:posOffset>
              </wp:positionV>
              <wp:extent cx="722630" cy="103505"/>
              <wp:wrapNone/>
              <wp:docPr id="21" name="Shape 2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2026-23713</w:t>
                          </w:r>
                        </w:p>
                      </w:txbxContent>
                    </wps:txbx>
                    <wps:bodyPr wrap="none" lIns="0" tIns="0" rIns="0" bIns="0">
                      <a:spAutoFit/>
                    </wps:bodyPr>
                  </wps:wsp>
                </a:graphicData>
              </a:graphic>
            </wp:anchor>
          </w:drawing>
        </mc:Choice>
        <mc:Fallback>
          <w:pict>
            <v:shape id="_x0000_s1047" type="#_x0000_t202" style="position:absolute;margin-left:57.200000000000003pt;margin-top:795.14999999999998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2026-23713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3884295</wp:posOffset>
              </wp:positionH>
              <wp:positionV relativeFrom="page">
                <wp:posOffset>473075</wp:posOffset>
              </wp:positionV>
              <wp:extent cx="149225" cy="69850"/>
              <wp:wrapNone/>
              <wp:docPr id="7" name="Shape 7"/>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5.85000000000002pt;margin-top:37.25pt;width:11.75pt;height:5.5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3884295</wp:posOffset>
              </wp:positionH>
              <wp:positionV relativeFrom="page">
                <wp:posOffset>509270</wp:posOffset>
              </wp:positionV>
              <wp:extent cx="149225" cy="69850"/>
              <wp:wrapNone/>
              <wp:docPr id="11" name="Shape 11"/>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5.85000000000002pt;margin-top:40.100000000000001pt;width:11.75pt;height:5.5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3884295</wp:posOffset>
              </wp:positionH>
              <wp:positionV relativeFrom="page">
                <wp:posOffset>473075</wp:posOffset>
              </wp:positionV>
              <wp:extent cx="149225" cy="69850"/>
              <wp:wrapNone/>
              <wp:docPr id="13" name="Shape 13"/>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5.85000000000002pt;margin-top:37.25pt;width:11.75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3884295</wp:posOffset>
              </wp:positionH>
              <wp:positionV relativeFrom="page">
                <wp:posOffset>509270</wp:posOffset>
              </wp:positionV>
              <wp:extent cx="149225" cy="69850"/>
              <wp:wrapNone/>
              <wp:docPr id="17" name="Shape 17"/>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5.85000000000002pt;margin-top:40.100000000000001pt;width:11.75pt;height:5.5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3884295</wp:posOffset>
              </wp:positionH>
              <wp:positionV relativeFrom="page">
                <wp:posOffset>473075</wp:posOffset>
              </wp:positionV>
              <wp:extent cx="149225" cy="69850"/>
              <wp:wrapNone/>
              <wp:docPr id="19" name="Shape 19"/>
              <a:graphic xmlns:a="http://schemas.openxmlformats.org/drawingml/2006/main">
                <a:graphicData uri="http://schemas.microsoft.com/office/word/2010/wordprocessingShape">
                  <wps:wsp>
                    <wps:cNvSpPr txBox="1"/>
                    <wps:spPr>
                      <a:xfrm>
                        <a:ext cx="149225"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5.85000000000002pt;margin-top:37.25pt;width:11.75pt;height:5.5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4">
    <w:name w:val="Heading #1_"/>
    <w:basedOn w:val="DefaultParagraphFont"/>
    <w:link w:val="Style13"/>
    <w:rPr>
      <w:rFonts w:ascii="Arial" w:eastAsia="Arial" w:hAnsi="Arial" w:cs="Arial"/>
      <w:b w:val="0"/>
      <w:bCs w:val="0"/>
      <w:i w:val="0"/>
      <w:iCs w:val="0"/>
      <w:smallCaps w:val="0"/>
      <w:strike w:val="0"/>
      <w:sz w:val="50"/>
      <w:szCs w:val="50"/>
      <w:u w:val="none"/>
      <w:lang w:val="en-US" w:eastAsia="en-US"/>
    </w:rPr>
  </w:style>
  <w:style w:type="character" w:customStyle="1" w:styleId="CharStyle18">
    <w:name w:val="Picture caption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34343"/>
      <w:sz w:val="12"/>
      <w:szCs w:val="12"/>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3">
    <w:name w:val="Heading #1"/>
    <w:basedOn w:val="Normal"/>
    <w:link w:val="CharStyle14"/>
    <w:pPr>
      <w:widowControl w:val="0"/>
      <w:shd w:val="clear" w:color="auto" w:fill="auto"/>
      <w:spacing w:after="360"/>
      <w:ind w:firstLine="3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7">
    <w:name w:val="Picture caption"/>
    <w:basedOn w:val="Normal"/>
    <w:link w:val="CharStyle18"/>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4)"/>
    <w:basedOn w:val="Normal"/>
    <w:link w:val="CharStyle21"/>
    <w:pPr>
      <w:widowControl w:val="0"/>
      <w:shd w:val="clear" w:color="auto" w:fill="auto"/>
      <w:spacing w:after="100"/>
      <w:ind w:left="4450" w:hanging="1170"/>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780"/>
    </w:pPr>
    <w:rPr>
      <w:rFonts w:ascii="Arial" w:eastAsia="Arial" w:hAnsi="Arial" w:cs="Arial"/>
      <w:b w:val="0"/>
      <w:bCs w:val="0"/>
      <w:i w:val="0"/>
      <w:iCs w:val="0"/>
      <w:smallCaps w:val="0"/>
      <w:strike w:val="0"/>
      <w:color w:val="434343"/>
      <w:sz w:val="12"/>
      <w:szCs w:val="12"/>
      <w:u w:val="none"/>
    </w:rPr>
  </w:style>
  <w:style w:type="paragraph" w:customStyle="1" w:styleId="Style28">
    <w:name w:val="Body text (5)"/>
    <w:basedOn w:val="Normal"/>
    <w:link w:val="CharStyle29"/>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image" Target="media/image2.jpeg"/><Relationship Id="rId19" Type="http://schemas.openxmlformats.org/officeDocument/2006/relationships/image" Target="media/image2.jpeg" TargetMode="External"/><Relationship Id="rId20" Type="http://schemas.openxmlformats.org/officeDocument/2006/relationships/image" Target="media/image3.jpeg"/><Relationship Id="rId21" Type="http://schemas.openxmlformats.org/officeDocument/2006/relationships/image" Target="media/image3.jpeg" TargetMode="External"/></Relationships>
</file>