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62685" distR="112966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737360" distL="309245" distR="26416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728980</wp:posOffset>
                </wp:positionV>
                <wp:extent cx="2252345" cy="81089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810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549999999999997pt;margin-top:57.399999999999999pt;width:177.34999999999999pt;height:63.850000000000001pt;z-index:-125829374;mso-wrap-distance-left:24.350000000000001pt;mso-wrap-distance-top:56.399999999999999pt;mso-wrap-distance-right:20.800000000000001pt;mso-wrap-distance-bottom:136.8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359660" distB="0" distL="114300" distR="114300" simplePos="0" relativeHeight="125829381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2372360</wp:posOffset>
            </wp:positionV>
            <wp:extent cx="2597150" cy="90805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9080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1695450</wp:posOffset>
                </wp:positionV>
                <wp:extent cx="2252345" cy="3898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 xml:space="preserve">пр. Мира, 81 д, г. Красноярск, 660017 тел. (391) 211-00-00, факс (391) 211-01-14 </w:t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"mailto:to24@fas.gov.ru"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to24@fas.gov.ru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2.549999999999997pt;margin-top:133.5pt;width:177.34999999999999pt;height:30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 xml:space="preserve">пр. Мира, 81 д, г. Красноярск, 660017 тел. (391) 211-00-00, факс (391) 211-01-14 </w:t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"mailto:to24@fas.gov.ru"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to24@fas.gov.ru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9265920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00" w:right="0" w:firstLine="0"/>
        <w:jc w:val="left"/>
      </w:pPr>
      <w:r>
        <w:rPr>
          <w:rStyle w:val="CharStyle7"/>
        </w:rPr>
        <w:t xml:space="preserve">ООО «Сибирский строитель» ул. Кутузовская, д. 4А, помещ, </w:t>
      </w:r>
      <w:r>
        <w:rPr>
          <w:rStyle w:val="CharStyle7"/>
          <w:lang w:val="en-US" w:eastAsia="en-US"/>
        </w:rPr>
        <w:t xml:space="preserve">1, </w:t>
      </w:r>
      <w:r>
        <w:rPr>
          <w:rStyle w:val="CharStyle7"/>
        </w:rPr>
        <w:t xml:space="preserve">г. Одинцово, Московская обл., </w:t>
      </w:r>
      <w:r>
        <w:rPr>
          <w:rStyle w:val="CharStyle7"/>
          <w:lang w:val="en-US" w:eastAsia="en-US"/>
        </w:rPr>
        <w:t xml:space="preserve">143001 </w:t>
      </w:r>
      <w:r>
        <w:fldChar w:fldCharType="begin"/>
      </w:r>
      <w:r>
        <w:rPr/>
        <w:instrText> HYPERLINK "mailto:anthonpalgunov@yandex.ru" </w:instrText>
      </w:r>
      <w:r>
        <w:fldChar w:fldCharType="separate"/>
      </w:r>
      <w:r>
        <w:rPr>
          <w:rStyle w:val="CharStyle7"/>
          <w:lang w:val="en-US" w:eastAsia="en-US"/>
        </w:rPr>
        <w:t>anthonpalgunov@yandex.ru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00" w:right="0" w:firstLine="0"/>
        <w:jc w:val="left"/>
      </w:pPr>
      <w:r>
        <w:rPr>
          <w:rStyle w:val="CharStyle7"/>
        </w:rPr>
        <w:t xml:space="preserve">ФГБУ «Управление мелиорации земель и сельскохозяйственного водоснабжения по Сибирскому федеральному округу» пр-кт. Свободный, д. </w:t>
      </w:r>
      <w:r>
        <w:rPr>
          <w:rStyle w:val="CharStyle7"/>
          <w:lang w:val="en-US" w:eastAsia="en-US"/>
        </w:rPr>
        <w:t xml:space="preserve">68, </w:t>
      </w:r>
      <w:r>
        <w:rPr>
          <w:rStyle w:val="CharStyle7"/>
        </w:rPr>
        <w:t xml:space="preserve">г. Красноярск, </w:t>
      </w:r>
      <w:r>
        <w:rPr>
          <w:rStyle w:val="CharStyle7"/>
          <w:lang w:val="en-US" w:eastAsia="en-US"/>
        </w:rPr>
        <w:t xml:space="preserve">660041 </w:t>
      </w:r>
      <w:r>
        <w:fldChar w:fldCharType="begin"/>
      </w:r>
      <w:r>
        <w:rPr/>
        <w:instrText> HYPERLINK "mailto:info@krasnoyarskmelio.mcx.gov.ru" </w:instrText>
      </w:r>
      <w:r>
        <w:fldChar w:fldCharType="separate"/>
      </w:r>
      <w:r>
        <w:rPr>
          <w:rStyle w:val="CharStyle7"/>
          <w:lang w:val="en-US" w:eastAsia="en-US"/>
        </w:rPr>
        <w:t>info@krasnoyarskmelio.mcx.gov.ru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rStyle w:val="CharStyle7"/>
        </w:rPr>
        <w:t>ЭТП АГЗ РТ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1000"/>
        <w:jc w:val="both"/>
      </w:pPr>
      <w:r>
        <w:fldChar w:fldCharType="begin"/>
      </w:r>
      <w:r>
        <w:rPr/>
        <w:instrText> HYPERLINK "mailto:info@mail.zakazrf.ru" </w:instrText>
      </w:r>
      <w:r>
        <w:fldChar w:fldCharType="separate"/>
      </w:r>
      <w:r>
        <w:rPr>
          <w:rStyle w:val="CharStyle7"/>
          <w:lang w:val="en-US" w:eastAsia="en-US"/>
        </w:rPr>
        <w:t>info@mail.zakazrf.ru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</w:rPr>
        <w:t xml:space="preserve">Решение </w:t>
      </w:r>
      <w:r>
        <w:rPr>
          <w:rStyle w:val="CharStyle7"/>
          <w:lang w:val="en-US" w:eastAsia="en-US"/>
        </w:rPr>
        <w:t>№ 024/06/105-1453/2026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мая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>года г. Красноярск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Красноярского УФАС России по контролю в сфере закупок в составе: Председатель Комиссии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Е.О. Хорышев, врио заместителя руководителя, Г.В. Куликовская, государственный инспектор, Н.Д. Ратегов, государственный инспектор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Комиссия), рассмотрев жалобу ООО «Сибирский строитель»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податель жалобы, заявитель) на действия заказчика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ФГБУ «Управление мелиорации земель и сельскохозяйственного водоснабжения по Сибирскому федеральному округу»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заказчик) при проведении электронного аукциона «Автомобиль самосвал», ИКЗ </w:t>
      </w:r>
      <w:r>
        <w:rPr>
          <w:rStyle w:val="CharStyle7"/>
          <w:lang w:val="en-US" w:eastAsia="en-US"/>
        </w:rPr>
        <w:t xml:space="preserve">261246002111624630100100220012910244, </w:t>
      </w:r>
      <w:r>
        <w:rPr>
          <w:rStyle w:val="CharStyle7"/>
        </w:rPr>
        <w:t xml:space="preserve">извещение </w:t>
      </w:r>
      <w:r>
        <w:rPr>
          <w:rStyle w:val="CharStyle7"/>
          <w:lang w:val="en-US" w:eastAsia="en-US"/>
        </w:rPr>
        <w:t xml:space="preserve">№ 0319100023026000007 </w:t>
      </w:r>
      <w:r>
        <w:rPr>
          <w:rStyle w:val="CharStyle7"/>
        </w:rPr>
        <w:t xml:space="preserve">на электронной торговой площадке ЭТП АГЗ РТ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оператор электронной площадки),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Существо жалобы: нарушение аукционной комиссией порядка рассмотрения заявок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Жалоба подана в Красноярское УФАС России в срок, установленный частью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105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Закон о контрактной системе), соответствовала требованиям статьи </w:t>
      </w:r>
      <w:r>
        <w:rPr>
          <w:rStyle w:val="CharStyle7"/>
          <w:lang w:val="en-US" w:eastAsia="en-US"/>
        </w:rPr>
        <w:t xml:space="preserve">105 </w:t>
      </w:r>
      <w:r>
        <w:rPr>
          <w:rStyle w:val="CharStyle7"/>
        </w:rPr>
        <w:t>указанного закона, в связи с чем подлежала принятию к рассмотрению.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адрес Заказчика,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Заседание Комиссии по рассмотрению жалобы по существу было проведено </w:t>
      </w:r>
      <w:r>
        <w:rPr>
          <w:rStyle w:val="CharStyle7"/>
          <w:lang w:val="en-US" w:eastAsia="en-US"/>
        </w:rPr>
        <w:t xml:space="preserve">08.05.2026 </w:t>
      </w:r>
      <w:r>
        <w:rPr>
          <w:rStyle w:val="CharStyle7"/>
        </w:rPr>
        <w:t xml:space="preserve">в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часов </w:t>
      </w:r>
      <w:r>
        <w:rPr>
          <w:rStyle w:val="CharStyle7"/>
          <w:lang w:val="en-US" w:eastAsia="en-US"/>
        </w:rPr>
        <w:t xml:space="preserve">00 </w:t>
      </w:r>
      <w:r>
        <w:rPr>
          <w:rStyle w:val="CharStyle7"/>
        </w:rPr>
        <w:t>минут (время местное). До начала заседания Заявитель направил в адрес Комиссии ходатайство об участии в рассмотрении посредством ВКС. Ходатайство рассмотрено и удовлетворено. Заказчик обеспечил явку представителей. Заседание состоялось при участии представителя Заявителя посредством ВКС и представителей Заказчика. Личности и полномочия участников удостоверены.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Заявитель в жалобе указывает, что аукционная комиссия Заказчика отклонила его заявку на участие в закупке по пункту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 Основанием отклонения послужил вывод аукционной комиссии о несоответствии информации и документов, предусмотренных извещением и представленных участников закупки оператору электронной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площадки, требованиям, установленным в извещении. По мнению аукционной комиссии Заказчика, Заявителем предложен товар с характеристиками, превышающими технические характеристики, указанные в описании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По мнению Заявителя, аукционная комиссия Заказчика подошла формально к оценке указанной заявки. Интерактивная форма заявки в части технических характеристик была заполнена Заявителем в полном соответствии с требованиями Заказчика, в связи с чем у аукционной комиссии отсутствовали основания для отклонения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связи с возникшей потребностью Заказчиком были совершены действия по проведению электронного аукциона. Объектом закупки, исходя из извещения </w:t>
      </w:r>
      <w:r>
        <w:rPr>
          <w:rStyle w:val="CharStyle7"/>
          <w:lang w:val="en-US" w:eastAsia="en-US"/>
        </w:rPr>
        <w:t xml:space="preserve">№ 0319100023026000007, </w:t>
      </w:r>
      <w:r>
        <w:rPr>
          <w:rStyle w:val="CharStyle7"/>
        </w:rPr>
        <w:t>является «Автомобиль самосвал».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силу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соответствии с частью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соответствии со статьей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заказчик вправе определить такие требования к товару (работе, услуге), которые соответствуют его потребности с учетом специфики деятельности. Потребностью Заказчика является поставка автомобиля самосвала.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Специфика каждой закупки определяет необходимые требования к товару, в связи с чем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34 </w:t>
      </w:r>
      <w:r>
        <w:rPr>
          <w:rStyle w:val="CharStyle7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силу пункта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содержащей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Относительно доводов жалобы Комиссия сообщает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По мнению Заказчика, описание объекта закупки разработано с учетом требований Правил дорожного движения для передвижения по населенным пунктам, а также с учетом потребности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 указал на несоответствие заявки Подателя жалобы требованиям, установленным Заказчиком, по характеристике «Мощность двигателя», поскольку Заявителем предложено значение </w:t>
      </w:r>
      <w:r>
        <w:rPr>
          <w:rStyle w:val="CharStyle7"/>
          <w:lang w:val="en-US" w:eastAsia="en-US"/>
        </w:rPr>
        <w:t xml:space="preserve">«400 </w:t>
      </w:r>
      <w:r>
        <w:rPr>
          <w:rStyle w:val="CharStyle7"/>
        </w:rPr>
        <w:t xml:space="preserve">л.с.», тогда как Заказчиком было установлено значение мощности двигателя </w:t>
      </w:r>
      <w:r>
        <w:rPr>
          <w:rStyle w:val="CharStyle7"/>
          <w:lang w:val="en-US" w:eastAsia="en-US"/>
        </w:rPr>
        <w:t xml:space="preserve">«≥ 292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&lt; 307 </w:t>
      </w:r>
      <w:r>
        <w:rPr>
          <w:rStyle w:val="CharStyle7"/>
        </w:rPr>
        <w:t>л.с.».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Также Заказчик указал, что Заявителем в составе заявки не представлены сведения о модели двигателя. Согласно описанию объекта закупки заказчиком была установлена характеристика «Двигатель модель» со значением «КАМАЗ </w:t>
      </w:r>
      <w:r>
        <w:rPr>
          <w:rStyle w:val="CharStyle7"/>
          <w:lang w:val="en-US" w:eastAsia="en-US"/>
        </w:rPr>
        <w:t xml:space="preserve">667.511-300», </w:t>
      </w:r>
      <w:r>
        <w:rPr>
          <w:rStyle w:val="CharStyle7"/>
        </w:rPr>
        <w:t>при этом по указанной характеристике было предусмотрено, что ее значение не может изменяться участником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Кроме того, в соответствии с письменными пояснениями Заказчика заявка Подателя жалобы не соответствовала требованиям к комплектации товара. Так, в описании объекта закупки Заказчиком установлены требования к комплектации автомобиля-самосвала, включающая, в частности, выхлоп вниз слева, экран глушителя, заднее защитное устройство, боковое защитное устройство, крылья колес, преобразователь напряжения, пружинную подвеску кабины, пневмоподвеску сиденья водителя, подголовники сидений, инструментальный ящик в кабине, кондиционер салона, автономный отопитель салона, глушители на тормозных пневматических аппаратах, противооткатные упоры, запасное колесо, огнетушитель, домкрат, стандартный комплект ЗИП, сопроводительные технические документы, фаркоп, гидро-пневмо-электро-выводы.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 указал, что Заявителем в заявке не были указаны автономный отопитель салона и кондиционер салона, тогда как в условиях резко континентального и сурового климата Сибири данные элементы комплектации необходимы для создания безопасных условий труда на рассматриваемой технике.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изложенного аукционная комиссия Заказчика пришла к выводу, что товар, предложенный Заявителем в составе заявки, не соответствует запрашиваемым характеристикам и потребности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Комиссией установлено, что в описании объекта закупки Заказчиком была установлена характеристика «Комплектация», включающая конкретный перечень элементов, которыми должен быть укомплектован поставляемый автомобиль-самосвал.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Материалами рассмотрения жалобы подтверждается, что Заявитель в составе заявки указал не полный перечень требуемой комплектации в соответствии с описанием объекта закупки. Заявителем в составе заявки не были указаны автономный отопитель салона и кондиционер салона.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отсутствие указания на данные элементы в составе заявки не позволяет установить соответствие предлагаемого товара указанным Заказчиком требованиям к комплектации. В связи с этим аукционная комиссия Заказчика фактически имела основания для отклонения заявки Подателя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Комиссией установлено, что при формировании извещения об осуществлении закупки и описания объекта закупки Заказчиком допущены нарушения требований законодательства о контрактной системе, выразившиеся в наличии противоречивых сведений о характеристике «Мощность двигателя», а также в ненадлежащем установлении инструкции по заполнению заявки применительно к спорным характеристикам.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Так, в описании объекта закупки по характеристике «Мощность двигателя» Заказчиком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установлено значение </w:t>
      </w:r>
      <w:r>
        <w:rPr>
          <w:rStyle w:val="CharStyle7"/>
          <w:lang w:val="en-US" w:eastAsia="en-US"/>
        </w:rPr>
        <w:t xml:space="preserve">«≥ 292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&lt; 307 </w:t>
      </w:r>
      <w:r>
        <w:rPr>
          <w:rStyle w:val="CharStyle7"/>
        </w:rPr>
        <w:t>л. с.».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Одновременно в структурированной части извещения по характеристике «Мощность двигателя» указано значение </w:t>
      </w:r>
      <w:r>
        <w:rPr>
          <w:rStyle w:val="CharStyle7"/>
          <w:lang w:val="en-US" w:eastAsia="en-US"/>
        </w:rPr>
        <w:t xml:space="preserve">«≥ 292 </w:t>
      </w:r>
      <w:r>
        <w:rPr>
          <w:rStyle w:val="CharStyle7"/>
        </w:rPr>
        <w:t xml:space="preserve">л. с.», без верхнего предельного значения </w:t>
      </w:r>
      <w:r>
        <w:rPr>
          <w:rStyle w:val="CharStyle7"/>
          <w:lang w:val="en-US" w:eastAsia="en-US"/>
        </w:rPr>
        <w:t xml:space="preserve">«&lt; 307 </w:t>
      </w:r>
      <w:r>
        <w:rPr>
          <w:rStyle w:val="CharStyle7"/>
        </w:rPr>
        <w:t>л.с.».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Следовательно, в составе закупочной документации содержатся различные значения одной и той же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Соответственно, значение </w:t>
      </w:r>
      <w:r>
        <w:rPr>
          <w:rStyle w:val="CharStyle7"/>
          <w:lang w:val="en-US" w:eastAsia="en-US"/>
        </w:rPr>
        <w:t xml:space="preserve">«400 </w:t>
      </w:r>
      <w:r>
        <w:rPr>
          <w:rStyle w:val="CharStyle7"/>
        </w:rPr>
        <w:t xml:space="preserve">л.с.», указанное Заявителем в составе заявки, соответствует требованиям Заказчика, указанным в извещении: </w:t>
      </w:r>
      <w:r>
        <w:rPr>
          <w:rStyle w:val="CharStyle7"/>
          <w:lang w:val="en-US" w:eastAsia="en-US"/>
        </w:rPr>
        <w:t xml:space="preserve">«≥ 292 </w:t>
      </w:r>
      <w:r>
        <w:rPr>
          <w:rStyle w:val="CharStyle7"/>
        </w:rPr>
        <w:t>л.с.».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частью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Наличие различных значений одной характеристики создает неопределенность требований Заказчика и не обеспечивает единообразного понимания участниками закупки того, какой товар будет признан соответствующим потребности заказчика, что нарушает требования 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Кроме того, Комиссией установлено, что Заказчиком ненадлежащим образом сформирована инструкция по заполнению заявки. Под инструкцией по заполнению заявки понимается совокупность правил, установленных Заказчиком для участников закупки, позволяющих определить порядок отражения в заявке характеристик предлагаемого товара: какие показатели участник должен конкретизировать, какие показатели не подлежат изменению, каким образом заполняются диапазонные значения, а также какие сведения должны быть сохранены участником закупки в неизменном виде. Такая инструкция должна устранять неопределенность и обеспечивать возможность подготовки заявки, соответствующей требованиям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рассматриваемой закупке инструкция содержит общие положения о том, что участник закупки заполняет заявку в соответствии с порядком электронной площадки и ЕИС, применяет обозначения в соответствии с описанием объекта закупки, указывает абсолютно точные и достоверные значения характеристик, конкретизирует показатели товаров и указывает конкретные числовые значения из интервала, установленного в описании объекта закупки. Также указано, что в случаях, прямо не описанных в инструкции, показатели следует считать неизменными. Однако данная инструкция не содержит однозначного и исчерпывающего порядка применения установленных Заказчиком обозначений.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Заказчиком указаны характеристики с неизменяемыми значениями, характеристики с диапазонными значениями, характеристики с нижним пределом, характеристика с альтернативным значением «или». При этом порядок заполнения заявки применительно к каждому типу таких показателей Заказчиком должным образом не раскрыт.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проанализировав совокупность положений извещения о проведении электронного аукциона, материалов внеплановой проверки, Комиссия пришла к выводу о том, что при формировании условий извещения о проведении закупки в рамках закупочной процедуры </w:t>
      </w:r>
      <w:r>
        <w:rPr>
          <w:rStyle w:val="CharStyle7"/>
          <w:lang w:val="en-US" w:eastAsia="en-US"/>
        </w:rPr>
        <w:t xml:space="preserve">№ 0319100023026000007 </w:t>
      </w:r>
      <w:r>
        <w:rPr>
          <w:rStyle w:val="CharStyle7"/>
        </w:rPr>
        <w:t xml:space="preserve">субъектом контроля были допущены нарушения требований действующего законодательства о контрактной системе, а именно статей </w:t>
      </w:r>
      <w:r>
        <w:rPr>
          <w:rStyle w:val="CharStyle7"/>
          <w:lang w:val="en-US" w:eastAsia="en-US"/>
        </w:rPr>
        <w:t xml:space="preserve">33, 42 </w:t>
      </w:r>
      <w:r>
        <w:rPr>
          <w:rStyle w:val="CharStyle7"/>
        </w:rPr>
        <w:t xml:space="preserve">Закона о контрактной системе. Указанное деяние образует состав административного правонарушения, предусмотренного частью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об административных правонарушениях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 xml:space="preserve">В результате рассмотрения жалобы, проведения внеплановой проверки, руководствуясь частями </w:t>
      </w:r>
      <w:r>
        <w:rPr>
          <w:rStyle w:val="CharStyle7"/>
          <w:lang w:val="en-US" w:eastAsia="en-US"/>
        </w:rPr>
        <w:t xml:space="preserve">3, 15, 22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99, </w:t>
      </w:r>
      <w:r>
        <w:rPr>
          <w:rStyle w:val="CharStyle7"/>
        </w:rPr>
        <w:t xml:space="preserve">частью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системе, Комиссия Красноярского УФАС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«Сибирский строитель» частично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 xml:space="preserve">Признать Заказчика нарушившим требования статей </w:t>
      </w:r>
      <w:r>
        <w:rPr>
          <w:rStyle w:val="CharStyle7"/>
          <w:lang w:val="en-US" w:eastAsia="en-US"/>
        </w:rPr>
        <w:t xml:space="preserve">33, 42 </w:t>
      </w:r>
      <w:r>
        <w:rPr>
          <w:rStyle w:val="CharStyle7"/>
        </w:rPr>
        <w:t>Закона о контрактной системе.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целях устранения нарушения законодательства о контрактной системе и восстановления нарушенных прав участников закупки выдать обязательное для исполнения предписание, в этой связи: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комиссии по осуществлению закупок, заказчику, оператору электронной площадки отменить все протоколы, составленные в ходе проведения электронного аукциона;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 внести изменения в извещение о проведении электронного аукциона;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продлить срок подачи заявок на участие в электронном аукционе не менее, чем на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дня, начиная со дня размещения измененного извещения о проведении электронного аукциона.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возбуждения дела об административном правонарушении в отношении должностного лица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rStyle w:val="CharStyle7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600200" cy="56705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25pt;margin-top:1.pt;width:126.pt;height:44.64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 Комиссии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7"/>
        </w:rPr>
        <w:t>Е.О. Хорышев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7"/>
        </w:rPr>
        <w:t>Г.В. Куликовская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120" w:line="240" w:lineRule="auto"/>
        <w:ind w:left="0" w:right="0" w:firstLine="0"/>
        <w:jc w:val="right"/>
      </w:pPr>
      <w:r>
        <w:rPr>
          <w:rStyle w:val="CharStyle7"/>
        </w:rPr>
        <w:t>Н.Д. Ратегов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000000"/>
          <w:sz w:val="18"/>
          <w:szCs w:val="18"/>
        </w:rPr>
        <w:t>Исп.Ратегов Н.Д. тел.8(391)211-0144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966" w:right="537" w:bottom="1203" w:left="11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9993630</wp:posOffset>
              </wp:positionV>
              <wp:extent cx="327342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34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5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2026-7220</w:t>
                            <w:tab/>
                          </w: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86.89999999999998pt;width:257.7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5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2026-7220</w:t>
                      <w:tab/>
                    </w: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9993630</wp:posOffset>
              </wp:positionV>
              <wp:extent cx="658495" cy="12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2026-7220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6.89999999999998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2026-7220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7"/>
      <w:szCs w:val="17"/>
      <w:u w:val="none"/>
    </w:rPr>
  </w:style>
  <w:style w:type="character" w:customStyle="1" w:styleId="CharStyle5">
    <w:name w:val="Picture caption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40" w:line="27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7"/>
      <w:szCs w:val="17"/>
      <w:u w:val="none"/>
    </w:rPr>
  </w:style>
  <w:style w:type="paragraph" w:customStyle="1" w:styleId="Style4">
    <w:name w:val="Picture caption"/>
    <w:basedOn w:val="Normal"/>
    <w:link w:val="CharStyle5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