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4" w:right="536" w:bottom="597" w:left="110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4.05.2026</w:t>
      </w:r>
      <w:r>
        <w:fldChar w:fldCharType="end"/>
      </w:r>
      <w:r>
        <w:rPr>
          <w:rStyle w:val="CharStyle10"/>
        </w:rPr>
        <w:tab/>
        <w:t>№ 20343/26</w:t>
      </w:r>
      <w:bookmarkEnd w:id="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 xml:space="preserve">ГБОУ Школа </w:t>
      </w:r>
      <w:r>
        <w:rPr>
          <w:rStyle w:val="CharStyle12"/>
          <w:lang w:val="en-US" w:eastAsia="en-US"/>
        </w:rPr>
        <w:t xml:space="preserve">№ 2126 </w:t>
      </w:r>
      <w:r>
        <w:rPr>
          <w:rStyle w:val="CharStyle12"/>
        </w:rPr>
        <w:t>«Перово»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"mailto:2126@edu.mos.ru" </w:instrText>
      </w:r>
      <w:r>
        <w:fldChar w:fldCharType="separate"/>
      </w:r>
      <w:r>
        <w:rPr>
          <w:rStyle w:val="CharStyle12"/>
          <w:lang w:val="en-US" w:eastAsia="en-US"/>
        </w:rPr>
        <w:t>2126@edu.mos.ru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1673" w:bottom="708" w:left="1293" w:header="0" w:footer="3" w:gutter="0"/>
          <w:cols w:num="2" w:space="1291"/>
          <w:noEndnote/>
          <w:rtlGutter w:val="0"/>
          <w:docGrid w:linePitch="360"/>
        </w:sectPr>
      </w:pPr>
      <w:r>
        <w:rPr>
          <w:rStyle w:val="CharStyle12"/>
        </w:rPr>
        <w:t xml:space="preserve">ИП Щербаков Я.В </w:t>
      </w:r>
      <w:r>
        <w:fldChar w:fldCharType="begin"/>
      </w:r>
      <w:r>
        <w:rPr/>
        <w:instrText> HYPERLINK "mailto:ceo@wfp1.ru" </w:instrText>
      </w:r>
      <w:r>
        <w:fldChar w:fldCharType="separate"/>
      </w:r>
      <w:r>
        <w:rPr>
          <w:rStyle w:val="CharStyle12"/>
          <w:lang w:val="en-US" w:eastAsia="en-US"/>
        </w:rPr>
        <w:t>ceo@wfp1.ru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6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393700</wp:posOffset>
                </wp:positionV>
                <wp:extent cx="1298575" cy="6737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8575" cy="673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b/>
                                <w:bCs/>
                                <w:lang w:val="en-US" w:eastAsia="en-US"/>
                              </w:rPr>
                              <w:t>08.05.2026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Комиссия по г. Москве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31.pt;width:102.25pt;height:53.05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b/>
                          <w:bCs/>
                          <w:lang w:val="en-US" w:eastAsia="en-US"/>
                        </w:rPr>
                        <w:t>08.05.2026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700"/>
                        <w:jc w:val="left"/>
                      </w:pPr>
                      <w:r>
                        <w:rPr>
                          <w:rStyle w:val="CharStyle12"/>
                        </w:rPr>
                        <w:t>Комиссия по г. Москве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077/06/105-5869/2026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600" w:firstLine="0"/>
        <w:jc w:val="right"/>
      </w:pP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2"/>
        </w:rPr>
        <w:t>Управления Федеральной антимонопольной службы по контролю в сфере закупок товаров, работ, услуг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Членов комиссии: Специалиста-эксперта отдела обжалования государственных закупок Е.С.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 Хлебниковой,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65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ГБОУ Школа </w:t>
      </w:r>
      <w:r>
        <w:rPr>
          <w:rStyle w:val="CharStyle12"/>
          <w:lang w:val="en-US" w:eastAsia="en-US"/>
        </w:rPr>
        <w:t>№</w:t>
        <w:tab/>
        <w:t xml:space="preserve">2126 </w:t>
      </w:r>
      <w:r>
        <w:rPr>
          <w:rStyle w:val="CharStyle12"/>
        </w:rPr>
        <w:t>«Перово»: В.В. Чекинцевой (по дов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08.05.2026 </w:t>
      </w:r>
      <w:r>
        <w:rPr>
          <w:rStyle w:val="CharStyle12"/>
        </w:rPr>
        <w:t>№б/н),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отсутствие представителей ИП Щербаков Я.В., о времени и порядке заседания Комиссии Управления уведомленных надлежащим образом посредством размещения сведений в Единой информационной системе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ЕИС),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ИП Щербаков Я.В.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ГБОУ Школа </w:t>
      </w:r>
      <w:r>
        <w:rPr>
          <w:rStyle w:val="CharStyle12"/>
          <w:lang w:val="en-US" w:eastAsia="en-US"/>
        </w:rPr>
        <w:t xml:space="preserve">№ 2126 </w:t>
      </w:r>
      <w:r>
        <w:rPr>
          <w:rStyle w:val="CharStyle12"/>
        </w:rPr>
        <w:t xml:space="preserve">«Перово»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оказание услуг по мытью окон и фасадов с применением промышленного альпинизма (Закупка </w:t>
      </w:r>
      <w:r>
        <w:rPr>
          <w:rStyle w:val="CharStyle12"/>
          <w:lang w:val="en-US" w:eastAsia="en-US"/>
        </w:rPr>
        <w:t xml:space="preserve">№ 0373200656026000002)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6" w:bottom="697" w:left="1106" w:header="0" w:footer="3" w:gutter="0"/>
          <w:cols w:space="720"/>
          <w:noEndnote/>
          <w:rtlGutter w:val="0"/>
          <w:docGrid w:linePitch="360"/>
        </w:sectPr>
      </w:pPr>
      <w:r>
        <w:drawing>
          <wp:anchor distT="5080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50800</wp:posOffset>
            </wp:positionV>
            <wp:extent cx="1511935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отклонения заявки Заявителя.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29.04.2026 </w:t>
      </w:r>
      <w:r>
        <w:rPr>
          <w:rStyle w:val="CharStyle12"/>
        </w:rPr>
        <w:t xml:space="preserve">№ИЭА1 заявка Заявителя с идентификационным номером заявки </w:t>
      </w:r>
      <w:r>
        <w:rPr>
          <w:rStyle w:val="CharStyle12"/>
          <w:lang w:val="en-US" w:eastAsia="en-US"/>
        </w:rPr>
        <w:t xml:space="preserve">3146190 </w:t>
      </w:r>
      <w:r>
        <w:rPr>
          <w:rStyle w:val="CharStyle12"/>
        </w:rPr>
        <w:t>отклонена на следующем основании: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i/>
          <w:iCs/>
        </w:rPr>
        <w:t xml:space="preserve">«Отклонить заявку на участие в закупке по п.3 ч.12 ст.48 №44-ФЗ «Несоответствие участника закупки требованиям, установленным в извещении об осуществлении закупки в соответствии с ч. </w:t>
      </w:r>
      <w:r>
        <w:rPr>
          <w:rStyle w:val="CharStyle12"/>
          <w:i/>
          <w:iCs/>
          <w:lang w:val="en-US" w:eastAsia="en-US"/>
        </w:rPr>
        <w:t xml:space="preserve">1 </w:t>
      </w:r>
      <w:r>
        <w:rPr>
          <w:rStyle w:val="CharStyle12"/>
          <w:i/>
          <w:iCs/>
        </w:rPr>
        <w:t xml:space="preserve">с. </w:t>
      </w:r>
      <w:r>
        <w:rPr>
          <w:rStyle w:val="CharStyle12"/>
          <w:i/>
          <w:iCs/>
          <w:lang w:val="en-US" w:eastAsia="en-US"/>
        </w:rPr>
        <w:t xml:space="preserve">31 </w:t>
      </w:r>
      <w:r>
        <w:rPr>
          <w:rStyle w:val="CharStyle12"/>
          <w:i/>
          <w:iCs/>
        </w:rPr>
        <w:t xml:space="preserve">44-ФЗ, требованиям, установленным в извещении об осуществлении закупки в соответствии с ч.ч. </w:t>
      </w:r>
      <w:r>
        <w:rPr>
          <w:rStyle w:val="CharStyle12"/>
          <w:i/>
          <w:iCs/>
          <w:lang w:val="en-US" w:eastAsia="en-US"/>
        </w:rPr>
        <w:t xml:space="preserve">1.1, 2 </w:t>
      </w:r>
      <w:r>
        <w:rPr>
          <w:rStyle w:val="CharStyle12"/>
          <w:i/>
          <w:iCs/>
        </w:rPr>
        <w:t xml:space="preserve">и </w:t>
      </w:r>
      <w:r>
        <w:rPr>
          <w:rStyle w:val="CharStyle12"/>
          <w:i/>
          <w:iCs/>
          <w:lang w:val="en-US" w:eastAsia="en-US"/>
        </w:rPr>
        <w:t xml:space="preserve">2.1 </w:t>
      </w:r>
      <w:r>
        <w:rPr>
          <w:rStyle w:val="CharStyle12"/>
          <w:i/>
          <w:iCs/>
        </w:rPr>
        <w:t xml:space="preserve">(при наличии таких требований) ст. </w:t>
      </w:r>
      <w:r>
        <w:rPr>
          <w:rStyle w:val="CharStyle12"/>
          <w:i/>
          <w:iCs/>
          <w:lang w:val="en-US" w:eastAsia="en-US"/>
        </w:rPr>
        <w:t xml:space="preserve">31 </w:t>
      </w:r>
      <w:r>
        <w:rPr>
          <w:rStyle w:val="CharStyle12"/>
          <w:i/>
          <w:iCs/>
        </w:rPr>
        <w:t xml:space="preserve">44-ФЗ» В составе заявки, на участие в закупке, представлены документы и сведения о наличии опыта, которые не соответствуют требованиям указанным в извещении в соответствии с позицией </w:t>
      </w:r>
      <w:r>
        <w:rPr>
          <w:rStyle w:val="CharStyle12"/>
          <w:i/>
          <w:iCs/>
          <w:lang w:val="en-US" w:eastAsia="en-US"/>
        </w:rPr>
        <w:t xml:space="preserve">36 </w:t>
      </w:r>
      <w:r>
        <w:rPr>
          <w:rStyle w:val="CharStyle12"/>
          <w:i/>
          <w:iCs/>
        </w:rPr>
        <w:t xml:space="preserve">раздела </w:t>
      </w:r>
      <w:r>
        <w:rPr>
          <w:rStyle w:val="CharStyle12"/>
          <w:i/>
          <w:iCs/>
          <w:lang w:val="en-US" w:eastAsia="en-US"/>
        </w:rPr>
        <w:t xml:space="preserve">VI </w:t>
      </w:r>
      <w:r>
        <w:rPr>
          <w:rStyle w:val="CharStyle12"/>
          <w:i/>
          <w:iCs/>
        </w:rPr>
        <w:t xml:space="preserve">приложения к ПП РФ от </w:t>
      </w:r>
      <w:r>
        <w:rPr>
          <w:rStyle w:val="CharStyle12"/>
          <w:i/>
          <w:iCs/>
          <w:lang w:val="en-US" w:eastAsia="en-US"/>
        </w:rPr>
        <w:t>29.12.2021 № 2571».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П.12 ч.1 ст.42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Закона о контрактной системе, требования, предъявляемые к участникам закупки в соответствии с частями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 xml:space="preserve">(при наличии таких требований) 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Закона о контрактной системе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</w:t>
      </w:r>
      <w:r>
        <w:rPr>
          <w:rStyle w:val="CharStyle12"/>
          <w:lang w:val="en-US" w:eastAsia="en-US"/>
        </w:rPr>
        <w:t xml:space="preserve">1.1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системе (при наличии такого требования).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пп.«н» п.1 ч.1 ст.43 Закона о контрактной системе заявка на участие в закупке должна содержать документы, подтверждающие соответствие участника закупки требованиям, установленным п.1 ч.1 ст.31 Закона о контрактной системе, документы, подтверждающие соответствие участника закупки дополнительным требованиям, установленным в соответствии с ч.2 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>(при наличии таких требований) ст.31 Закона о контрактной системе, если иное не предусмотрено Законом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720"/>
        <w:jc w:val="both"/>
        <w:rPr>
          <w:sz w:val="24"/>
          <w:szCs w:val="24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970" w:right="546" w:bottom="413" w:left="1082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 силу ч.2 ст.31 Закона о контрактной системе Правительство Российской Федерации вправе устанавливать к участникам закупок отдельных видов товаров, </w:t>
      </w:r>
      <w:r>
        <w:rPr>
          <w:rStyle w:val="CharStyle12"/>
          <w:sz w:val="24"/>
          <w:szCs w:val="24"/>
          <w:lang w:val="en-US" w:eastAsia="en-US"/>
        </w:rPr>
        <w:t>2026-23024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 финансовых ресурсов для исполнения контракта; на праве собственности или ином законном основании оборудования и других материальных ресурсов для исполнения контракта; опыта работы, связанного с предметом контракта, и деловой репутации; 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силу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>ст.31 Закона о контрактной системе, устанавливается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Заказчиком закупается услуги по уборке позиции КТРУ </w:t>
      </w:r>
      <w:r>
        <w:rPr>
          <w:rStyle w:val="CharStyle12"/>
          <w:lang w:val="en-US" w:eastAsia="en-US"/>
        </w:rPr>
        <w:t xml:space="preserve">81.21.10.000-00000007 </w:t>
      </w:r>
      <w:r>
        <w:rPr>
          <w:rStyle w:val="CharStyle12"/>
        </w:rPr>
        <w:t xml:space="preserve">с начальной (максимальной) ценой контракта </w:t>
      </w:r>
      <w:r>
        <w:rPr>
          <w:rStyle w:val="CharStyle12"/>
          <w:lang w:val="en-US" w:eastAsia="en-US"/>
        </w:rPr>
        <w:t xml:space="preserve">10 831 346,03 </w:t>
      </w:r>
      <w:r>
        <w:rPr>
          <w:rStyle w:val="CharStyle12"/>
        </w:rPr>
        <w:t xml:space="preserve">руб., в связи с чем Заказчиком установлены требования в соответствии с п.36 раздела </w:t>
      </w:r>
      <w:r>
        <w:rPr>
          <w:rStyle w:val="CharStyle12"/>
          <w:lang w:val="en-US" w:eastAsia="en-US"/>
        </w:rPr>
        <w:t xml:space="preserve">VI </w:t>
      </w:r>
      <w:r>
        <w:rPr>
          <w:rStyle w:val="CharStyle12"/>
        </w:rPr>
        <w:t xml:space="preserve">Постановления Правительства РФ от </w:t>
      </w:r>
      <w:r>
        <w:rPr>
          <w:rStyle w:val="CharStyle12"/>
          <w:lang w:val="en-US" w:eastAsia="en-US"/>
        </w:rPr>
        <w:t xml:space="preserve">29.12.2021 № 2571 </w:t>
      </w:r>
      <w:r>
        <w:rPr>
          <w:rStyle w:val="CharStyle12"/>
        </w:rPr>
        <w:t xml:space="preserve">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 xml:space="preserve">№2571) </w:t>
      </w:r>
      <w:r>
        <w:rPr>
          <w:rStyle w:val="CharStyle12"/>
        </w:rPr>
        <w:t>дополнительные требования к участникам закупки при оказании услуги по уборке зданий, сооружений, прилегающих к ним территорий.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основании п. </w:t>
      </w:r>
      <w:r>
        <w:rPr>
          <w:rStyle w:val="CharStyle12"/>
          <w:lang w:val="en-US" w:eastAsia="en-US"/>
        </w:rPr>
        <w:t xml:space="preserve">36 </w:t>
      </w:r>
      <w:r>
        <w:rPr>
          <w:rStyle w:val="CharStyle12"/>
        </w:rPr>
        <w:t xml:space="preserve">приложения к постановлению </w:t>
      </w:r>
      <w:r>
        <w:rPr>
          <w:rStyle w:val="CharStyle12"/>
          <w:lang w:val="en-US" w:eastAsia="en-US"/>
        </w:rPr>
        <w:t xml:space="preserve">№ 2571 </w:t>
      </w:r>
      <w:r>
        <w:rPr>
          <w:rStyle w:val="CharStyle12"/>
        </w:rPr>
        <w:t xml:space="preserve">при проведении конкурентных процедур по оказанию услуг по уборке зданий, сооружений, прилегающих к ним территорий к участникам закупки устанавливаются дополнительные требования о наличии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</w:t>
      </w:r>
      <w:r>
        <w:rPr>
          <w:rStyle w:val="CharStyle12"/>
          <w:lang w:val="en-US" w:eastAsia="en-US"/>
        </w:rPr>
        <w:t xml:space="preserve">20 </w:t>
      </w:r>
      <w:r>
        <w:rPr>
          <w:rStyle w:val="CharStyle12"/>
        </w:rPr>
        <w:t>процентов начальной (максимальной) цены контракта, заключаемого по результатам определения поставщика (подрядчика, исполнителя) Информация и документы, подтверждающие соответствие участников закупки дополнительным требованиям: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исполненный договор;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акт приемки оказанных услуг, подтверждающий цену оказанных услуг.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Комиссией Управления установлено, что в извещении Заказчиком установлено следующее требование к участникам закупки: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«3.1 </w:t>
      </w:r>
      <w:r>
        <w:rPr>
          <w:rStyle w:val="CharStyle12"/>
        </w:rPr>
        <w:t xml:space="preserve">Требования в соответствии с позицией </w:t>
      </w:r>
      <w:r>
        <w:rPr>
          <w:rStyle w:val="CharStyle12"/>
          <w:lang w:val="en-US" w:eastAsia="en-US"/>
        </w:rPr>
        <w:t xml:space="preserve">36 </w:t>
      </w:r>
      <w:r>
        <w:rPr>
          <w:rStyle w:val="CharStyle12"/>
        </w:rPr>
        <w:t xml:space="preserve">раздела </w:t>
      </w:r>
      <w:r>
        <w:rPr>
          <w:rStyle w:val="CharStyle12"/>
          <w:lang w:val="en-US" w:eastAsia="en-US"/>
        </w:rPr>
        <w:t xml:space="preserve">VI </w:t>
      </w:r>
      <w:r>
        <w:rPr>
          <w:rStyle w:val="CharStyle12"/>
        </w:rPr>
        <w:t xml:space="preserve">приложения к ПП РФ от </w:t>
      </w:r>
      <w:r>
        <w:rPr>
          <w:rStyle w:val="CharStyle12"/>
          <w:lang w:val="en-US" w:eastAsia="en-US"/>
        </w:rPr>
        <w:t>29.12.2021 № 2571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Наличие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</w:t>
      </w:r>
      <w:r>
        <w:rPr>
          <w:rStyle w:val="CharStyle12"/>
          <w:lang w:val="en-US" w:eastAsia="en-US"/>
        </w:rPr>
        <w:t xml:space="preserve">20 </w:t>
      </w:r>
      <w:r>
        <w:rPr>
          <w:rStyle w:val="CharStyle12"/>
        </w:rPr>
        <w:t xml:space="preserve">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</w:t>
      </w:r>
      <w:r>
        <w:rPr>
          <w:rStyle w:val="CharStyle12"/>
          <w:lang w:val="en-US" w:eastAsia="en-US"/>
        </w:rPr>
        <w:t xml:space="preserve">1) </w:t>
      </w:r>
      <w:r>
        <w:rPr>
          <w:rStyle w:val="CharStyle12"/>
        </w:rPr>
        <w:t xml:space="preserve">исполненный договор; </w:t>
      </w:r>
      <w:r>
        <w:rPr>
          <w:rStyle w:val="CharStyle12"/>
          <w:lang w:val="en-US" w:eastAsia="en-US"/>
        </w:rPr>
        <w:t xml:space="preserve">2) </w:t>
      </w:r>
      <w:r>
        <w:rPr>
          <w:rStyle w:val="CharStyle12"/>
        </w:rPr>
        <w:t>акт приемки оказанных услуг, подтверждающий цену оказанных услуг».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 по осуществлению закупок: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п.4 ч.4 ст.49Закона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12"/>
          <w:lang w:val="en-US" w:eastAsia="en-US"/>
        </w:rPr>
        <w:t xml:space="preserve">- 8 </w:t>
      </w:r>
      <w:r>
        <w:rPr>
          <w:rStyle w:val="CharStyle12"/>
        </w:rPr>
        <w:t>ч.12 ст.48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основании информации, содержащейся в протоколе подачи ценовых предложений, а также результатов рассмотрения, предусмотренного пп «а» п.1 ч.5 ст.49 Закона о контрактной системе,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п.9 ч.3 ст.49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п.9 ч.3 ст.49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ст.14 Закона о контрактной системе. Заявке на участие в закупке победителя определения поставщика (подрядчика, исполнителя) присваивается первый номер.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во исполнение требований Заказчика, Заявителем в составе Заявки был представлен контракт «Контракт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-ЗЭА_ФС_ЕП на </w:t>
      </w:r>
      <w:r>
        <w:rPr>
          <w:rStyle w:val="CharStyle12"/>
          <w:lang w:val="en-US" w:eastAsia="en-US"/>
        </w:rPr>
        <w:t xml:space="preserve">2026», </w:t>
      </w:r>
      <w:r>
        <w:rPr>
          <w:rStyle w:val="CharStyle12"/>
        </w:rPr>
        <w:t>объектом закупки которого являлось оказание услуг по очистке от снега, сосулек и наледи кровли зданий.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заявка ИП Щербакова Я.В. отклонена в связи с не предоставлением участником подтверждения его соответствия дополнительным требованиям, установленным в извещении в соответствии с п. </w:t>
      </w:r>
      <w:r>
        <w:rPr>
          <w:rStyle w:val="CharStyle12"/>
          <w:lang w:val="en-US" w:eastAsia="en-US"/>
        </w:rPr>
        <w:t xml:space="preserve">36 </w:t>
      </w:r>
      <w:r>
        <w:rPr>
          <w:rStyle w:val="CharStyle12"/>
        </w:rPr>
        <w:t xml:space="preserve">приложения к постановлению </w:t>
      </w:r>
      <w:r>
        <w:rPr>
          <w:rStyle w:val="CharStyle12"/>
          <w:lang w:val="en-US" w:eastAsia="en-US"/>
        </w:rPr>
        <w:t xml:space="preserve">№ 2571. </w:t>
      </w:r>
      <w:r>
        <w:rPr>
          <w:rStyle w:val="CharStyle12"/>
        </w:rPr>
        <w:t>Так,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Заявителем в подтверждение опыта предоставлен контракт на очистку кровли от снега, наледи и сосулек. Данный вид услуг относится к п.14 приложения к постановлению </w:t>
      </w:r>
      <w:r>
        <w:rPr>
          <w:rStyle w:val="CharStyle12"/>
          <w:lang w:val="en-US" w:eastAsia="en-US"/>
        </w:rPr>
        <w:t xml:space="preserve">№ 2571 </w:t>
      </w:r>
      <w:r>
        <w:rPr>
          <w:rStyle w:val="CharStyle12"/>
        </w:rPr>
        <w:t xml:space="preserve">и не является услугой по уборке в значении п.36 приложения к постановлению </w:t>
      </w:r>
      <w:r>
        <w:rPr>
          <w:rStyle w:val="CharStyle12"/>
          <w:lang w:val="en-US" w:eastAsia="en-US"/>
        </w:rPr>
        <w:t>№ 2571.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Согласно доводам жалобы представленный контракт соотносится с объектом закупки и с требуемыми к выполнению работами, ввиду чего, отклонение заявки Заявителя является неправомерным.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В свою очередь Комиссия Управления считает необходимым отметить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На основании ч.8 ст.55.24 Градостроительного кодекса Российской Федерации техническое обслуживание зданий, сооружений, текущий ремонт зданий, сооружений проводятся в целях обеспечения надлежащего технического состояния таких зданий, сооружений. Под надлежащим техническим состоянием зданий, сооружений понимаются поддержание параметров устойчивости, надежности зданий, сооружений, а также исправность строительных конструкций, систем инженерно-технического обеспечения, сетей инженерно-технического обеспечения, их элементов в соответствии с требованиями технических регламентов, проектной документации и в соответствии с исполнительной документацией.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СП </w:t>
      </w:r>
      <w:r>
        <w:rPr>
          <w:rStyle w:val="CharStyle12"/>
          <w:lang w:val="en-US" w:eastAsia="en-US"/>
        </w:rPr>
        <w:t xml:space="preserve">255.1325800.2016 </w:t>
      </w:r>
      <w:r>
        <w:rPr>
          <w:rStyle w:val="CharStyle12"/>
        </w:rPr>
        <w:t>устанавливает общие эксплуатационные требования к зданиям и сооружениям в условиях нормальной эксплуатации.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Согласно п.9.2 СП </w:t>
      </w:r>
      <w:r>
        <w:rPr>
          <w:rStyle w:val="CharStyle12"/>
          <w:lang w:val="en-US" w:eastAsia="en-US"/>
        </w:rPr>
        <w:t xml:space="preserve">255.1325800.2016 </w:t>
      </w:r>
      <w:r>
        <w:rPr>
          <w:rStyle w:val="CharStyle12"/>
        </w:rPr>
        <w:t xml:space="preserve">определено, что </w:t>
      </w:r>
      <w:r>
        <w:rPr>
          <w:rStyle w:val="CharStyle12"/>
          <w:i/>
          <w:iCs/>
        </w:rPr>
        <w:t>в состав работ по текущему обслуживанию входят</w:t>
      </w:r>
      <w:r>
        <w:rPr>
          <w:rStyle w:val="CharStyle12"/>
        </w:rPr>
        <w:t xml:space="preserve">: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исправление незначительных неисправностей, выявленных в ходе осмотров;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проведение регламентных работ по регулировке и наладке систем инженерно-технического обеспечения, в том числе при подготовке к сезонной эксплуатации;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проведение работ по подготовке здания (сооружения) к сезонной эксплуатации;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санитарное содержание помещений здания (сооружения) и прилегающей территории;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  <w:i/>
          <w:iCs/>
        </w:rPr>
        <w:t>уборка снега</w:t>
      </w:r>
      <w:r>
        <w:rPr>
          <w:rStyle w:val="CharStyle12"/>
        </w:rPr>
        <w:t xml:space="preserve">;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обеспечение работоспособности систем (станций) мониторинга технического состояния и динамического поведения конструкций и прилегающих грунтов (если такие системы установлены).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Таким образом, в состав работ по текущему обслуживанию здания уборка снега выделена в отдельную категорию.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При этом п.11.3 СП </w:t>
      </w:r>
      <w:r>
        <w:rPr>
          <w:rStyle w:val="CharStyle12"/>
          <w:lang w:val="en-US" w:eastAsia="en-US"/>
        </w:rPr>
        <w:t xml:space="preserve">255.1325800.2016 </w:t>
      </w:r>
      <w:r>
        <w:rPr>
          <w:rStyle w:val="CharStyle12"/>
        </w:rPr>
        <w:t>для предохранения строительных конструкций и оснований зданий (сооружений) от воздействия атмосферных осадков и грунтовых вод следует в том числе обеспечивать своевременную очистку и удаления наледей и сосулек с карнизов и при необходимости уборку снега с кровли; организовывать уборку снега от стен здания (сооружения) на расстоянии не менее 2м. при наступлении оттепелей.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Таким образом, при принятии решения Комиссия Управления исходит, что услуги по очистке крыш от снега, наледи и сосулек относятся к техническому обслуживанию.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Ввиду вышеизложенного Комиссия Управления приходит к выводу, что представленный контракт не может быть рассмотрен как удовлетворяющий требованиям п.36 приложения к Постановлению </w:t>
      </w:r>
      <w:r>
        <w:rPr>
          <w:rStyle w:val="CharStyle12"/>
          <w:lang w:val="en-US" w:eastAsia="en-US"/>
        </w:rPr>
        <w:t>№2571.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В силу пп. «а» п.1 ч.5 ст.49 Закона о контрактной системе не позднее двух рабочих дней со дня, следующего за датой окончания срока подачи заявок на участие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 xml:space="preserve">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2"/>
          <w:lang w:val="en-US" w:eastAsia="en-US"/>
        </w:rPr>
        <w:t xml:space="preserve">1 - 8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>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>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1.1, 2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 xml:space="preserve">(при наличии таких требований) 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предусмотренных пп. «а»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(за исключением случая, предусмотренного п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12), </w:t>
      </w:r>
      <w:r>
        <w:rPr>
          <w:rStyle w:val="CharStyle12"/>
        </w:rPr>
        <w:t xml:space="preserve">пп. «а»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4, </w:t>
      </w:r>
      <w:r>
        <w:rPr>
          <w:rStyle w:val="CharStyle12"/>
        </w:rPr>
        <w:t xml:space="preserve">пп. «а»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(за исключением случая, предусмотренного п.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12), </w:t>
      </w:r>
      <w:r>
        <w:rPr>
          <w:rStyle w:val="CharStyle12"/>
        </w:rPr>
        <w:t xml:space="preserve">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выявления отнесения участника закупки к организациям, предусмотренным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июня </w:t>
      </w:r>
      <w:r>
        <w:rPr>
          <w:rStyle w:val="CharStyle12"/>
          <w:lang w:val="en-US" w:eastAsia="en-US"/>
        </w:rPr>
        <w:t xml:space="preserve">2018 </w:t>
      </w:r>
      <w:r>
        <w:rPr>
          <w:rStyle w:val="CharStyle12"/>
        </w:rPr>
        <w:t xml:space="preserve">года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предусмотренных ч.6 ст. </w:t>
      </w:r>
      <w:r>
        <w:rPr>
          <w:rStyle w:val="CharStyle12"/>
          <w:lang w:val="en-US" w:eastAsia="en-US"/>
        </w:rPr>
        <w:t xml:space="preserve">45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выявления недостоверной информации, содержащейся в заявке на участие в закупке;</w:t>
      </w:r>
      <w:r>
        <w:br w:type="page"/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указания информации о предложении участника закупки, предусмотренном п.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или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Таким образом, Комиссия Управления, на основании представленных документов и сведений приходит к выводу о том, что решение комиссии по осуществлению закупок Заказчика об отклонении заявки Заявителя по основанию, отраженному в протоколе подведения итогов электронного аукциона, является правомерным и принято в соответствии с Законом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70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4" w:val="left"/>
          <w:tab w:pos="138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>.</w:t>
        <w:tab/>
      </w:r>
      <w:r>
        <w:rPr>
          <w:rStyle w:val="CharStyle12"/>
        </w:rPr>
        <w:t>Признать жалобу ИП Щербаков Я.В. на действия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ГБОУ Школа </w:t>
      </w:r>
      <w:r>
        <w:rPr>
          <w:rStyle w:val="CharStyle12"/>
          <w:lang w:val="en-US" w:eastAsia="en-US"/>
        </w:rPr>
        <w:t xml:space="preserve">№ 2126 </w:t>
      </w:r>
      <w:r>
        <w:rPr>
          <w:rStyle w:val="CharStyle12"/>
        </w:rPr>
        <w:t>«Перово»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8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Снять ограничения, наложенные на определение поставщика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rStyle w:val="CharStyle12"/>
        </w:rPr>
        <w:t>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952" w:right="535" w:bottom="1003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40995" distL="0" distR="0" simplePos="0" relativeHeight="125829381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342900</wp:posOffset>
                </wp:positionV>
                <wp:extent cx="184404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pt;margin-top:27.pt;width:145.20000000000002pt;height:19.699999999999999pt;z-index:-125829372;mso-wrap-distance-left:0;mso-wrap-distance-top:2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9730" distB="0" distL="0" distR="1786255" simplePos="0" relativeHeight="125829383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379730</wp:posOffset>
            </wp:positionV>
            <wp:extent cx="389890" cy="55499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818515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0.75pt;margin-top:64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501650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60000000000002pt;margin-top:39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340995" distL="0" distR="0" simplePos="0" relativeHeight="125829384" behindDoc="0" locked="0" layoutInCell="1" allowOverlap="1">
                <wp:simplePos x="0" y="0"/>
                <wp:positionH relativeFrom="page">
                  <wp:posOffset>6079490</wp:posOffset>
                </wp:positionH>
                <wp:positionV relativeFrom="paragraph">
                  <wp:posOffset>342900</wp:posOffset>
                </wp:positionV>
                <wp:extent cx="113665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8.69999999999999pt;margin-top:27.pt;width:89.5pt;height:19.699999999999999pt;z-index:-125829369;mso-wrap-distance-left:0;mso-wrap-distance-top:2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Грешнева Дарья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  <w:color w:val="292929"/>
        </w:rPr>
        <w:t xml:space="preserve">Сертификат № </w:t>
      </w:r>
      <w:r>
        <w:rPr>
          <w:rStyle w:val="CharStyle20"/>
          <w:color w:val="5E5E5E"/>
        </w:rPr>
        <w:t>00831</w:t>
      </w:r>
      <w:r>
        <w:rPr>
          <w:rStyle w:val="CharStyle20"/>
          <w:lang w:val="en-US" w:eastAsia="en-US"/>
        </w:rPr>
        <w:t>B7545C61281C4BAB156778A683BFB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292929"/>
        </w:rPr>
        <w:t xml:space="preserve">17.07.2025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75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60000000000002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Хлебникова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ХЛЕБНИКОВА АНАСТАСИЯ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00BDC586F2C22E864181858031D16A1</w:t>
      </w:r>
      <w:r>
        <w:rPr>
          <w:rStyle w:val="CharStyle20"/>
          <w:color w:val="292929"/>
        </w:rPr>
        <w:t>1</w:t>
      </w:r>
      <w:r>
        <w:rPr>
          <w:rStyle w:val="CharStyle20"/>
        </w:rPr>
        <w:t>13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0"/>
        </w:rPr>
        <w:t>Действителен с 31.1</w:t>
      </w:r>
      <w:r>
        <w:rPr>
          <w:rStyle w:val="CharStyle20"/>
          <w:color w:val="5E5E5E"/>
        </w:rPr>
        <w:t xml:space="preserve">0.2025 по </w:t>
      </w:r>
      <w:r>
        <w:rPr>
          <w:rStyle w:val="CharStyle20"/>
        </w:rPr>
        <w:t>24.01.2027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75pt;margin-top:36.700000000000003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60000000000002pt;margin-top:11.70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ПЕРЕВЕРЗЕВА ЕЛИЗАВЕТА СЕРГЕЕВНА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00FFF3ACD3A01A73F4C680C3941</w:t>
      </w:r>
      <w:r>
        <w:rPr>
          <w:rStyle w:val="CharStyle20"/>
        </w:rPr>
        <w:t>ЕЗСА026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80" w:line="266" w:lineRule="auto"/>
        <w:ind w:right="0" w:firstLine="0"/>
        <w:jc w:val="left"/>
      </w:pPr>
      <w:r>
        <w:rPr>
          <w:rStyle w:val="CharStyle20"/>
        </w:rPr>
        <w:t xml:space="preserve">Действителен с 11.12.2025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06.03.2027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Исп.Переверзева Е.С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75" w:right="532" w:bottom="97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10250805</wp:posOffset>
              </wp:positionV>
              <wp:extent cx="737870" cy="9144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75pt;margin-top:807.14999999999998pt;width:58.100000000000001pt;height:7.2000000000000002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10227310</wp:posOffset>
              </wp:positionV>
              <wp:extent cx="72834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050000000000004pt;margin-top:805.30000000000007pt;width:57.350000000000001pt;height:8.15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390525</wp:posOffset>
              </wp:positionV>
              <wp:extent cx="64135" cy="698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pt;margin-top:30.75pt;width:5.0499999999999998pt;height:5.5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363855</wp:posOffset>
              </wp:positionV>
              <wp:extent cx="7620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8.80000000000001pt;margin-top:28.650000000000002pt;width:6.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Relationship Id="rId18" Type="http://schemas.openxmlformats.org/officeDocument/2006/relationships/image" Target="media/image5.jpeg"/><Relationship Id="rId19" Type="http://schemas.openxmlformats.org/officeDocument/2006/relationships/image" Target="media/image5.jpeg" TargetMode="External"/></Relationships>
</file>