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ГБУЗ «ГКБ № 29 им. Н.Э. Баумана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"mailto:gkb29-zakupki@zdrav.mos.ru" </w:instrText>
      </w:r>
      <w:r>
        <w:fldChar w:fldCharType="separate"/>
      </w:r>
      <w:r>
        <w:rPr>
          <w:rStyle w:val="CharStyle10"/>
          <w:lang w:val="en-US" w:eastAsia="en-US"/>
        </w:rPr>
        <w:t>gkb29-zakupki@zdrav.mos.ru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ООО «Спироника»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75" w:bottom="708" w:left="1135" w:header="0" w:footer="3" w:gutter="0"/>
          <w:pgNumType w:start="1"/>
          <w:cols w:num="2" w:space="1051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"mailto:info@spironica.ru" </w:instrText>
      </w:r>
      <w:r>
        <w:fldChar w:fldCharType="separate"/>
      </w:r>
      <w:r>
        <w:rPr>
          <w:rStyle w:val="CharStyle10"/>
          <w:lang w:val="en-US" w:eastAsia="en-US"/>
        </w:rPr>
        <w:t>info@spironica.ru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1" w:right="0" w:bottom="7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077/06/105-5876/2026 о нарушении</w:t>
        <w:br/>
        <w:t>законодательства о контрактной системе</w:t>
        <w:br/>
        <w:t>08.05.2026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Председательствующего - главного государственного инспектора отдела об</w:t>
        <w:softHyphen/>
        <w:t>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Специалиста-эксперта отдела обжалования государственных закупок А.С. Гелмутдиновой,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участии представителя: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ГБУЗ «ГКБ № 29 им. Н.Э. Баумана ДЗМ»: В.В. Скуренок (по дов. от 10.09.2025 №10/09/2025-1),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ООО «Спироника»: А.В. Гутковского (генеральный директор),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рассмотрев жалобу ООО «Спироника» (далее — Заявитель) на действия ГБУЗ «ГКБ № 29 им. Н.Э. Баумана ДЗМ» (далее — Заказчик) при проведении электронного аукциона на право заключения государственного контракта на поставку расходных материалов для анестезиологии, реаниматологии и интенсивной терапии (абсорбент диоксида углерода) для нужд ГБУЗ «ГКБ № 29 им. Н.Э. Баумана ДЗМ» (Закупка № 0373200215526000362) (далее – аукцион, электронный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0"/>
        </w:rPr>
        <w:t xml:space="preserve">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составе жалобы Заявитель обжалует неправомерно установленное требование по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«Абсорбент диоксида углерода Идентификатор: </w:t>
      </w:r>
      <w:r>
        <w:rPr>
          <w:rStyle w:val="CharStyle10"/>
          <w:lang w:val="en-US" w:eastAsia="en-US"/>
        </w:rPr>
        <w:t xml:space="preserve">212001607», </w:t>
      </w:r>
      <w:r>
        <w:rPr>
          <w:rStyle w:val="CharStyle10"/>
        </w:rPr>
        <w:t xml:space="preserve">а именно: «Поглощающая способность </w:t>
      </w:r>
      <w:r>
        <w:rPr>
          <w:rStyle w:val="CharStyle10"/>
          <w:lang w:val="en-US" w:eastAsia="en-US"/>
        </w:rPr>
        <w:t xml:space="preserve">CO2, </w:t>
      </w:r>
      <w:r>
        <w:rPr>
          <w:rStyle w:val="CharStyle10"/>
        </w:rPr>
        <w:t xml:space="preserve">л/кг </w:t>
      </w:r>
      <w:r>
        <w:rPr>
          <w:rStyle w:val="CharStyle10"/>
          <w:lang w:val="en-US" w:eastAsia="en-US"/>
        </w:rPr>
        <w:t xml:space="preserve">≥ 150», </w:t>
      </w:r>
      <w:r>
        <w:rPr>
          <w:rStyle w:val="CharStyle10"/>
        </w:rPr>
        <w:t>поскольку, по мнению Заявителя, оно ограничивают круг участников закупки, так как указанному требованию не подходят изделия ни одного производителя.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0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 по закупаемой позиции «Абсорбент диоксида углерода Идентификатор: </w:t>
      </w:r>
      <w:r>
        <w:rPr>
          <w:rStyle w:val="CharStyle10"/>
          <w:lang w:val="en-US" w:eastAsia="en-US"/>
        </w:rPr>
        <w:t xml:space="preserve">212001607» </w:t>
      </w:r>
      <w:r>
        <w:rPr>
          <w:rStyle w:val="CharStyle10"/>
        </w:rPr>
        <w:t xml:space="preserve">Заказчиком установлены следующие требования, в частности: «Поглощающая способность </w:t>
      </w:r>
      <w:r>
        <w:rPr>
          <w:rStyle w:val="CharStyle10"/>
          <w:lang w:val="en-US" w:eastAsia="en-US"/>
        </w:rPr>
        <w:t xml:space="preserve">CO2, </w:t>
      </w:r>
      <w:r>
        <w:rPr>
          <w:rStyle w:val="CharStyle10"/>
        </w:rPr>
        <w:t xml:space="preserve">л/кг </w:t>
      </w:r>
      <w:r>
        <w:rPr>
          <w:rStyle w:val="CharStyle10"/>
          <w:lang w:val="en-US" w:eastAsia="en-US"/>
        </w:rPr>
        <w:t>≥ 150».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заседании Комиссии Управления представитель Заказчика пояснил, что описанию требуемых к поставке товаров соответствуют товары не менее 2-х производителей: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ООО «МЕДИМКОМ», Китай (регистрационное удостоверение РЗН </w:t>
      </w:r>
      <w:r>
        <w:rPr>
          <w:rStyle w:val="CharStyle10"/>
          <w:lang w:val="en-US" w:eastAsia="en-US"/>
        </w:rPr>
        <w:t>2025/25378)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Эллайд Хэлскэа Продактс, Инк.», США (регистрационное удостоверение РЗН </w:t>
      </w:r>
      <w:r>
        <w:rPr>
          <w:rStyle w:val="CharStyle10"/>
          <w:lang w:val="en-US" w:eastAsia="en-US"/>
        </w:rPr>
        <w:t>2016/4354).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обоснование своей позиции представитель Заказчика представил: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Инструкция по применению медицинского изделия «Абсорбент углекислоты в дыхательной смеси </w:t>
      </w:r>
      <w:r>
        <w:rPr>
          <w:rStyle w:val="CharStyle10"/>
          <w:lang w:val="en-US" w:eastAsia="en-US"/>
        </w:rPr>
        <w:t xml:space="preserve">NatronLid </w:t>
      </w:r>
      <w:r>
        <w:rPr>
          <w:rStyle w:val="CharStyle10"/>
        </w:rPr>
        <w:t xml:space="preserve">(НатронЛид) </w:t>
      </w:r>
      <w:r>
        <w:rPr>
          <w:rStyle w:val="CharStyle10"/>
          <w:lang w:val="en-US" w:eastAsia="en-US"/>
        </w:rPr>
        <w:t xml:space="preserve">LIDEM </w:t>
      </w:r>
      <w:r>
        <w:rPr>
          <w:rStyle w:val="CharStyle10"/>
        </w:rPr>
        <w:t xml:space="preserve">(ЛИДЕМ) по ТУ </w:t>
      </w:r>
      <w:r>
        <w:rPr>
          <w:rStyle w:val="CharStyle10"/>
          <w:lang w:val="en-US" w:eastAsia="en-US"/>
        </w:rPr>
        <w:t xml:space="preserve">32.50.13-001-71403032-2024 </w:t>
      </w:r>
      <w:r>
        <w:rPr>
          <w:rStyle w:val="CharStyle10"/>
        </w:rPr>
        <w:t>производителя ООО «МЕДИМКОМ»;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Дополнения к инструкции по применению медицинского изделия «Абсорбент углекислого газа медицинский для наркозно-дыхательной аппаратуры и респираторных систем «ЛИТОЛАЙМ» </w:t>
      </w:r>
      <w:r>
        <w:rPr>
          <w:rStyle w:val="CharStyle10"/>
          <w:lang w:val="en-US" w:eastAsia="en-US"/>
        </w:rPr>
        <w:t xml:space="preserve">(LITHOLYME), </w:t>
      </w:r>
      <w:r>
        <w:rPr>
          <w:rStyle w:val="CharStyle10"/>
        </w:rPr>
        <w:t xml:space="preserve">производства компании </w:t>
      </w:r>
      <w:r>
        <w:rPr>
          <w:rStyle w:val="CharStyle10"/>
          <w:lang w:val="en-US" w:eastAsia="en-US"/>
        </w:rPr>
        <w:t>Allied Healthcare Prodiicts, Inc.;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 в представленных Заказчиках инструкции и дополнении к инструкции установлено следующее значение характеристики «Поглощающая способность </w:t>
      </w:r>
      <w:r>
        <w:rPr>
          <w:rStyle w:val="CharStyle10"/>
          <w:lang w:val="en-US" w:eastAsia="en-US"/>
        </w:rPr>
        <w:t xml:space="preserve">CO2, </w:t>
      </w:r>
      <w:r>
        <w:rPr>
          <w:rStyle w:val="CharStyle10"/>
        </w:rPr>
        <w:t xml:space="preserve">л/кг», к закупаемому товару «Абсорбент диоксида углерода Идентификатор: </w:t>
      </w:r>
      <w:r>
        <w:rPr>
          <w:rStyle w:val="CharStyle10"/>
          <w:lang w:val="en-US" w:eastAsia="en-US"/>
        </w:rPr>
        <w:t>212001607»: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инструкция по применению медицинского изделия «Абсорбент углекислоты в дыхательной смеси </w:t>
      </w:r>
      <w:r>
        <w:rPr>
          <w:rStyle w:val="CharStyle10"/>
          <w:lang w:val="en-US" w:eastAsia="en-US"/>
        </w:rPr>
        <w:t xml:space="preserve">NatronLid </w:t>
      </w:r>
      <w:r>
        <w:rPr>
          <w:rStyle w:val="CharStyle10"/>
        </w:rPr>
        <w:t xml:space="preserve">(НатронЛид) </w:t>
      </w:r>
      <w:r>
        <w:rPr>
          <w:rStyle w:val="CharStyle10"/>
          <w:lang w:val="en-US" w:eastAsia="en-US"/>
        </w:rPr>
        <w:t xml:space="preserve">LIDEM </w:t>
      </w:r>
      <w:r>
        <w:rPr>
          <w:rStyle w:val="CharStyle10"/>
        </w:rPr>
        <w:t xml:space="preserve">(ЛИДЕМ) по ТУ </w:t>
      </w:r>
      <w:r>
        <w:rPr>
          <w:rStyle w:val="CharStyle10"/>
          <w:lang w:val="en-US" w:eastAsia="en-US"/>
        </w:rPr>
        <w:t xml:space="preserve">32.50.13-001-71403032-2024 </w:t>
      </w:r>
      <w:r>
        <w:rPr>
          <w:rStyle w:val="CharStyle10"/>
        </w:rPr>
        <w:t xml:space="preserve">производителя ООО «МЕДИМКОМ»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«Абсорбент должен обеспечивать поглощение углекислого газа более </w:t>
      </w:r>
      <w:r>
        <w:rPr>
          <w:rStyle w:val="CharStyle10"/>
          <w:lang w:val="en-US" w:eastAsia="en-US"/>
        </w:rPr>
        <w:t xml:space="preserve">19% </w:t>
      </w:r>
      <w:r>
        <w:rPr>
          <w:rStyle w:val="CharStyle10"/>
        </w:rPr>
        <w:t xml:space="preserve">(более </w:t>
      </w:r>
      <w:r>
        <w:rPr>
          <w:rStyle w:val="CharStyle10"/>
          <w:lang w:val="en-US" w:eastAsia="en-US"/>
        </w:rPr>
        <w:t xml:space="preserve">160 </w:t>
      </w:r>
      <w:r>
        <w:rPr>
          <w:rStyle w:val="CharStyle10"/>
        </w:rPr>
        <w:t>л/кг)»;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Дополнения к инструкции по применению медицинского изделия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«Абсорбент углекислого газа медицинский для наркозно-дыхательной аппаратуры и респираторных систем «ЛИТОЛАЙМ» </w:t>
      </w:r>
      <w:r>
        <w:rPr>
          <w:rStyle w:val="CharStyle10"/>
          <w:lang w:val="en-US" w:eastAsia="en-US"/>
        </w:rPr>
        <w:t xml:space="preserve">(LITHOLYME), </w:t>
      </w:r>
      <w:r>
        <w:rPr>
          <w:rStyle w:val="CharStyle10"/>
        </w:rPr>
        <w:t xml:space="preserve">производства компании </w:t>
      </w:r>
      <w:r>
        <w:rPr>
          <w:rStyle w:val="CharStyle10"/>
          <w:lang w:val="en-US" w:eastAsia="en-US"/>
        </w:rPr>
        <w:t xml:space="preserve">Allied Healthcare Prodiicts, Inc. - </w:t>
      </w:r>
      <w:r>
        <w:rPr>
          <w:rStyle w:val="CharStyle10"/>
        </w:rPr>
        <w:t xml:space="preserve">«Абсорбция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не менее 150л/кг.»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 Управления отмечает, что Заказчиком подтверждено, что совокупности установленных требований соответствует товары как минимум двух производителей, в том числе отечественного производства.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Вместе с тем в составе жалобы, а также на заседании Комиссии Управления представителем Заявителя не представлены документы и сведения, свидетельствующие об ограничении количества участников закупки, о невозможности формирования заявки на участие в данной закупке,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Кроме того, Заявителем не представлено доказательств того обстоятельства, что содержащиеся в извещении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извещении.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Кроме того, Комиссия Управления также отмечает, что предъявленные Заказчиком требования к поставляемому товару в равной степени распространялись на всех участников закупки,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Признать жалобу ООО «Спироника» на действия ГБУЗ «ГКБ </w:t>
      </w:r>
      <w:r>
        <w:rPr>
          <w:rStyle w:val="CharStyle10"/>
          <w:lang w:val="en-US" w:eastAsia="en-US"/>
        </w:rPr>
        <w:t xml:space="preserve">№ 29 </w:t>
      </w:r>
      <w:r>
        <w:rPr>
          <w:rStyle w:val="CharStyle10"/>
        </w:rPr>
        <w:t>им. Н.Э. Баумана ДЗМ»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0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1" w:right="536" w:bottom="782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41630" distL="0" distR="0" simplePos="0" relativeHeight="125829379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533400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pt;margin-top:42.pt;width:145.20000000000002pt;height:19.900000000000002pt;z-index:-125829374;mso-wrap-distance-left:0;mso-wrap-distance-top:42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7535" distB="0" distL="0" distR="1786255" simplePos="0" relativeHeight="125829381" behindDoc="0" locked="0" layoutInCell="1" allowOverlap="1">
            <wp:simplePos x="0" y="0"/>
            <wp:positionH relativeFrom="page">
              <wp:posOffset>3239135</wp:posOffset>
            </wp:positionH>
            <wp:positionV relativeFrom="paragraph">
              <wp:posOffset>597535</wp:posOffset>
            </wp:positionV>
            <wp:extent cx="365760" cy="53022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3708400</wp:posOffset>
                </wp:positionH>
                <wp:positionV relativeFrom="paragraph">
                  <wp:posOffset>1012190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92.pt;margin-top:79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3665855</wp:posOffset>
                </wp:positionH>
                <wp:positionV relativeFrom="paragraph">
                  <wp:posOffset>695325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8.65000000000003pt;margin-top:54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41630" distL="0" distR="0" simplePos="0" relativeHeight="125829382" behindDoc="0" locked="0" layoutInCell="1" allowOverlap="1">
                <wp:simplePos x="0" y="0"/>
                <wp:positionH relativeFrom="page">
                  <wp:posOffset>5906135</wp:posOffset>
                </wp:positionH>
                <wp:positionV relativeFrom="paragraph">
                  <wp:posOffset>533400</wp:posOffset>
                </wp:positionV>
                <wp:extent cx="130746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05000000000001pt;margin-top:42.pt;width:102.95pt;height:19.900000000000002pt;z-index:-125829371;mso-wrap-distance-left:0;mso-wrap-distance-top:42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Кутейников Антон Андреевич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A2A2A"/>
        </w:rPr>
        <w:t xml:space="preserve">№ </w:t>
      </w:r>
      <w:r>
        <w:rPr>
          <w:rStyle w:val="CharStyle17"/>
          <w:lang w:val="en-US" w:eastAsia="en-US"/>
        </w:rPr>
        <w:t>67950889C45403E5BD9EBC88A8D80C0D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>Действителен с 19.05.2025 по 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3248025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3665855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8.65000000000003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М.О. Мацнева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Мацнева Мария Олеговна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A2A2A"/>
        </w:rPr>
        <w:t xml:space="preserve">№ </w:t>
      </w:r>
      <w:r>
        <w:rPr>
          <w:rStyle w:val="CharStyle17"/>
          <w:lang w:val="en-US" w:eastAsia="en-US"/>
        </w:rPr>
        <w:t>00FDA1C988AAB27A9A34756B8D5F1D853</w:t>
      </w:r>
      <w:r>
        <w:rPr>
          <w:rStyle w:val="CharStyle17"/>
          <w:lang w:val="en-US" w:eastAsia="en-US"/>
        </w:rPr>
        <w:t>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>Действителен с 22.07.2025 по 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27860" simplePos="0" relativeHeight="125829385" behindDoc="0" locked="0" layoutInCell="1" allowOverlap="1">
            <wp:simplePos x="0" y="0"/>
            <wp:positionH relativeFrom="page">
              <wp:posOffset>3278505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3665855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8.65000000000003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А.С. Гелмутдинова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ГЕЛМУТДИНОВА АНАСТАСИЯ СЕРГЕЕВНА</w:t>
      </w:r>
      <w:r>
        <w:rPr>
          <w:rStyle w:val="CharStyle17"/>
          <w:color w:val="000000"/>
        </w:rPr>
        <w:t xml:space="preserve"> </w:t>
      </w:r>
      <w:r>
        <w:rPr>
          <w:rStyle w:val="CharStyle17"/>
        </w:rPr>
        <w:t xml:space="preserve">Сертификат </w:t>
      </w:r>
      <w:r>
        <w:rPr>
          <w:rStyle w:val="CharStyle17"/>
          <w:color w:val="2A2A2A"/>
        </w:rPr>
        <w:t xml:space="preserve">№ </w:t>
      </w:r>
      <w:r>
        <w:rPr>
          <w:rStyle w:val="CharStyle17"/>
        </w:rPr>
        <w:t>723501СС21703599976371</w:t>
      </w:r>
      <w:r>
        <w:rPr>
          <w:rStyle w:val="CharStyle17"/>
          <w:lang w:val="en-US" w:eastAsia="en-US"/>
        </w:rPr>
        <w:t>4F5C652689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840" w:line="266" w:lineRule="auto"/>
        <w:ind w:right="0" w:firstLine="0"/>
        <w:jc w:val="left"/>
      </w:pPr>
      <w:r>
        <w:rPr>
          <w:rStyle w:val="CharStyle17"/>
        </w:rPr>
        <w:t>Действителен с 09.02.2026 по 05.05.2027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09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10045700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2026-23573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99999999999999pt;margin-top:791.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2026-23573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787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2026-23573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30000000000007pt;width:58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2026-23573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418465</wp:posOffset>
              </wp:positionV>
              <wp:extent cx="6985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32.950000000000003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40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100"/>
      <w:ind w:left="4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