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609600</wp:posOffset>
                </wp:positionV>
                <wp:extent cx="2581910" cy="216408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164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75pt;margin-top:48.pt;width:203.30000000000001pt;height:170.40000000000001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 xml:space="preserve">На№  от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220" w:right="0" w:firstLine="0"/>
        <w:jc w:val="left"/>
      </w:pPr>
      <w:r>
        <w:rPr>
          <w:rStyle w:val="CharStyle7"/>
        </w:rPr>
        <w:t>СЭЦ СК России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220" w:right="0" w:firstLine="0"/>
        <w:jc w:val="left"/>
      </w:pPr>
      <w:r>
        <w:fldChar w:fldCharType="begin"/>
      </w:r>
      <w:r>
        <w:rPr/>
        <w:instrText> HYPERLINK "mailto:makarova_ur@sec.sledcom.ru" </w:instrText>
      </w:r>
      <w:r>
        <w:fldChar w:fldCharType="separate"/>
      </w:r>
      <w:r>
        <w:rPr>
          <w:rStyle w:val="CharStyle7"/>
          <w:lang w:val="en-US" w:eastAsia="en-US"/>
        </w:rPr>
        <w:t>makarova_ur@sec.sledcom.ru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220" w:right="0" w:firstLine="0"/>
        <w:jc w:val="left"/>
      </w:pPr>
      <w:r>
        <w:rPr>
          <w:rStyle w:val="CharStyle7"/>
        </w:rPr>
        <w:t>ООО «Русмед»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2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541" w:bottom="708" w:left="520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"mailto:rus@nikofarmperm.ru" </w:instrText>
      </w:r>
      <w:r>
        <w:fldChar w:fldCharType="separate"/>
      </w:r>
      <w:r>
        <w:rPr>
          <w:rStyle w:val="CharStyle7"/>
          <w:lang w:val="en-US" w:eastAsia="en-US"/>
        </w:rPr>
        <w:t>rus@nikofarmperm.ru</w:t>
      </w:r>
      <w:r>
        <w:fldChar w:fldCharType="end"/>
      </w: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0" w:bottom="655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335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708660</wp:posOffset>
            </wp:positionH>
            <wp:positionV relativeFrom="paragraph">
              <wp:posOffset>12700</wp:posOffset>
            </wp:positionV>
            <wp:extent cx="219710" cy="21336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3122295</wp:posOffset>
            </wp:positionH>
            <wp:positionV relativeFrom="paragraph">
              <wp:posOffset>12700</wp:posOffset>
            </wp:positionV>
            <wp:extent cx="219710" cy="21336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19710" cy="2133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541" w:bottom="655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1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0" w:bottom="124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52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52" w:lineRule="auto"/>
        <w:ind w:left="0" w:right="0" w:firstLine="0"/>
        <w:jc w:val="center"/>
      </w:pPr>
      <w:r>
        <w:rPr>
          <w:rStyle w:val="CharStyle7"/>
          <w:b/>
          <w:bCs/>
        </w:rPr>
        <w:t>по делу №077/06/105-5895/2026 о нарушении</w:t>
        <w:br/>
        <w:t>законодательства о контрактной системе</w:t>
        <w:br/>
        <w:t>12.05.2026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</w:rPr>
        <w:t>Председательствующего: и.о. начальника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</w:rPr>
        <w:t>Ведущего специалиста-эксперта отдела обжалования государственных закупок А.А. Леоновой,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</w:rPr>
        <w:t>рассмотрение жалобы проводилось дистанционно (посредством видео-конференц-связи),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</w:rPr>
        <w:t>при участии представителя СЭЦ СК России: Макаровой Ю.Р. (дов.№дсэц- 113/13-19-26 от 08.05.2026),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</w:rPr>
        <w:t>в отсутствие представителей ООО «Русмед»,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7"/>
        </w:rPr>
        <w:t>рассмотрев жалобу ООО «Русмед» (далее — Заявитель) на действия СЭЦ СК России (далее - Заказчик) при проведении электронного аукциона на право заключения государственного контракта на поставку расходных материалов для ДНК-лабораторий для нужд федерального государственного казенного учреждения «Судебно-экспертный центр Следственного комитета Российской Федерации» (Закупка №0873400003726000016) (далее – аукцион), в соответствии с</w:t>
      </w:r>
    </w:p>
    <w:p>
      <w:pPr>
        <w:widowControl w:val="0"/>
        <w:spacing w:after="736" w:line="1" w:lineRule="exact"/>
      </w:pP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177800</wp:posOffset>
            </wp:positionV>
            <wp:extent cx="1511935" cy="29273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7"/>
        </w:rPr>
        <w:t xml:space="preserve">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 заседании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Заявитель обжалует действия Заказчика, выразившиеся в утверждении положений извещения в нарушение законодательства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составе жалобы Заявитель указывает, что установленные Заказчиком требования к характеристикам части необходимых к поставке товаров ограничивают круг участников закупки, поскольку совокупности установленных требований соответствуют изделия конкретных производителей.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частности Заявитель указывает на следующие товарные позиции: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«Колонки для очистки выделенной ДНК Идентификатор», идентификатор товарной позиции </w:t>
      </w:r>
      <w:r>
        <w:rPr>
          <w:rStyle w:val="CharStyle7"/>
          <w:lang w:val="en-US" w:eastAsia="en-US"/>
        </w:rPr>
        <w:t>211749099;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«Спин-Баскет (корзинка) для лизиса и фильтрации образцов», идентификатор товарной позиции </w:t>
      </w:r>
      <w:r>
        <w:rPr>
          <w:rStyle w:val="CharStyle7"/>
          <w:lang w:val="en-US" w:eastAsia="en-US"/>
        </w:rPr>
        <w:t>211749096;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«Спин-Баскет (корзинка) для фильтрации образцов», идентификатор товарной позиции </w:t>
      </w:r>
      <w:r>
        <w:rPr>
          <w:rStyle w:val="CharStyle7"/>
          <w:lang w:val="en-US" w:eastAsia="en-US"/>
        </w:rPr>
        <w:t>211749097;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«Плёнка для ПЦР плашек», идентификатор товарной позиции </w:t>
      </w:r>
      <w:r>
        <w:rPr>
          <w:rStyle w:val="CharStyle7"/>
          <w:lang w:val="en-US" w:eastAsia="en-US"/>
        </w:rPr>
        <w:t>211749102;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  <w:lang w:val="en-US" w:eastAsia="en-US"/>
        </w:rPr>
        <w:t xml:space="preserve">«Cепты </w:t>
      </w:r>
      <w:r>
        <w:rPr>
          <w:rStyle w:val="CharStyle7"/>
        </w:rPr>
        <w:t xml:space="preserve">для контейнера с катодным буфером», идентификатор товарной позиции </w:t>
      </w:r>
      <w:r>
        <w:rPr>
          <w:rStyle w:val="CharStyle7"/>
          <w:lang w:val="en-US" w:eastAsia="en-US"/>
        </w:rPr>
        <w:t>211749103.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9" w:val="left"/>
        </w:tabs>
        <w:bidi w:val="0"/>
        <w:spacing w:before="0" w:after="280"/>
        <w:ind w:left="0" w:right="0" w:firstLine="700"/>
        <w:jc w:val="both"/>
      </w:pPr>
      <w:r>
        <w:rPr>
          <w:rStyle w:val="CharStyle7"/>
        </w:rPr>
        <w:t>сопровождение такого указания словами «или эквивалент»;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Комиссией Управления определено, что, согласно извещению об осуществлении закупки, Заказчиком закупается в том числе следующие товары: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«Колонки для очистки выделенной ДНК Идентификатор», идентификатор товарной позиции </w:t>
      </w:r>
      <w:r>
        <w:rPr>
          <w:rStyle w:val="CharStyle7"/>
          <w:lang w:val="en-US" w:eastAsia="en-US"/>
        </w:rPr>
        <w:t>211749099;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«Спин-Баскет (корзинка) для лизиса и фильтрации образцов», идентификатор товарной позиции </w:t>
      </w:r>
      <w:r>
        <w:rPr>
          <w:rStyle w:val="CharStyle7"/>
          <w:lang w:val="en-US" w:eastAsia="en-US"/>
        </w:rPr>
        <w:t>211749096;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«Спин-Баскет (корзинка) для фильтрации образцов», идентификатор товарной позиции </w:t>
      </w:r>
      <w:r>
        <w:rPr>
          <w:rStyle w:val="CharStyle7"/>
          <w:lang w:val="en-US" w:eastAsia="en-US"/>
        </w:rPr>
        <w:t>211749097;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1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«Плёнка для ПЦР плашек», идентификатор товарной позиции </w:t>
      </w:r>
      <w:r>
        <w:rPr>
          <w:rStyle w:val="CharStyle7"/>
          <w:lang w:val="en-US" w:eastAsia="en-US"/>
        </w:rPr>
        <w:t>211749102;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  <w:lang w:val="en-US" w:eastAsia="en-US"/>
        </w:rPr>
        <w:t xml:space="preserve">«Cепты </w:t>
      </w:r>
      <w:r>
        <w:rPr>
          <w:rStyle w:val="CharStyle7"/>
        </w:rPr>
        <w:t xml:space="preserve">для контейнера с катодным буфером», идентификатор товарной позиции </w:t>
      </w:r>
      <w:r>
        <w:rPr>
          <w:rStyle w:val="CharStyle7"/>
          <w:lang w:val="en-US" w:eastAsia="en-US"/>
        </w:rPr>
        <w:t>211749103.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 заседании Комиссии Управления представитель Заказчика пояснил, что требования к характеристикам закупаемых товаров установлены Заказчиком в соответствии с потребностью учреждения, при этом, вопреки доводам жалобы, совокупности требований извещения соответствуют товары нескольких производителей.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частности: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50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  <w:lang w:val="en-US" w:eastAsia="en-US"/>
        </w:rPr>
        <w:t xml:space="preserve">1. </w:t>
      </w:r>
      <w:r>
        <w:rPr>
          <w:rStyle w:val="CharStyle7"/>
        </w:rPr>
        <w:t>товарной позиции «Колонки для очистки выделенной ДНК»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 xml:space="preserve">соответствуют товары производства ООО «Компания Совтех», </w:t>
      </w:r>
      <w:r>
        <w:rPr>
          <w:rStyle w:val="CharStyle7"/>
          <w:lang w:val="en-US" w:eastAsia="en-US"/>
        </w:rPr>
        <w:t>«Magen Biotech»,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Style w:val="CharStyle7"/>
          <w:lang w:val="en-US" w:eastAsia="en-US"/>
        </w:rPr>
        <w:t>«Quagen», «Thermo Fisher Scientific»;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  <w:lang w:val="en-US" w:eastAsia="en-US"/>
        </w:rPr>
        <w:t xml:space="preserve">2. </w:t>
      </w:r>
      <w:r>
        <w:rPr>
          <w:rStyle w:val="CharStyle7"/>
        </w:rPr>
        <w:t xml:space="preserve">товарной позиции «Спин-Баскет (корзинка) для лизиса и фильтрации образцов» соответствуют товары производства ООО «Гордиз», ООО «Компания Совтех», </w:t>
      </w:r>
      <w:r>
        <w:rPr>
          <w:rStyle w:val="CharStyle7"/>
          <w:lang w:val="en-US" w:eastAsia="en-US"/>
        </w:rPr>
        <w:t>«Thermo Fisher Scientific»;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  <w:lang w:val="en-US" w:eastAsia="en-US"/>
        </w:rPr>
        <w:t xml:space="preserve">3. </w:t>
      </w:r>
      <w:r>
        <w:rPr>
          <w:rStyle w:val="CharStyle7"/>
        </w:rPr>
        <w:t xml:space="preserve">товарной позиции «Спин-Баскет (корзинка) для фильтрации образцов» соответствуют товары производства ООО «Компания Совтех», </w:t>
      </w:r>
      <w:r>
        <w:rPr>
          <w:rStyle w:val="CharStyle7"/>
          <w:lang w:val="en-US" w:eastAsia="en-US"/>
        </w:rPr>
        <w:t>«Promega», «Thermo Fisher Scientific»;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  <w:lang w:val="en-US" w:eastAsia="en-US"/>
        </w:rPr>
        <w:t xml:space="preserve">4. </w:t>
      </w:r>
      <w:r>
        <w:rPr>
          <w:rStyle w:val="CharStyle7"/>
        </w:rPr>
        <w:t xml:space="preserve">товарной позиции «Плёнка для ПЦР плашек» соответствуют товары производства ООО «Компания Совтех», </w:t>
      </w:r>
      <w:r>
        <w:rPr>
          <w:rStyle w:val="CharStyle7"/>
          <w:lang w:val="en-US" w:eastAsia="en-US"/>
        </w:rPr>
        <w:t>«BioRad», «Аxygen». 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  <w:lang w:val="en-US" w:eastAsia="en-US"/>
        </w:rPr>
        <w:t xml:space="preserve">5. </w:t>
      </w:r>
      <w:r>
        <w:rPr>
          <w:rStyle w:val="CharStyle7"/>
        </w:rPr>
        <w:t xml:space="preserve">«Септы для контейнера с катодным буфером» соответствуют товары производства ООО «НПК Синтол», ООО «Компания Совтех», </w:t>
      </w:r>
      <w:r>
        <w:rPr>
          <w:rStyle w:val="CharStyle7"/>
          <w:lang w:val="en-US" w:eastAsia="en-US"/>
        </w:rPr>
        <w:t>«Promega», «Thermo Fisher Scientific».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Вместе с этим на заседание Комиссии Управления представитель Заявителя не явился, при этом в составе жалобы Заявителем, не представлено документов и сведений, позволяющих Комиссии Управления установить факт соответствия совокупности требований извещения оборудованию конкретного производителя, в том числе, в жалобе не представлена информация о таком оборудовании, либо информации о производителе такого оборудования, о требованиях к характеристикам закупаемого оборудования, установленных в описании объекта закупки, которые не позволяют предложить к поставке оборудование иных производителей или характеристики, вовсе не соответствующие каким-либо из существующих изделий и свидетельствующих о наличии ограничений количества участников закупки. Кроме того, в составе жалобы Заявителем также не представлено каких-либо сведений, указывающих на несоответствие вышеуказанного оборудования требованиям извещения.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Ввиду вышеизложенного у Комиссии Управления отсутствуют правовые основания считать Заказчика нарушившим положения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Иного на заседании Комиссии Управления не выявлено.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На основании вышеизложенного Комиссия Управления приходит к выводу, что данный довод жалобы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7"/>
          <w:b/>
          <w:bCs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Признать жалобу ООО «Русмед» на действия СЭЦ СК России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>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Снять ограничения, наложенные на определение поставщика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7"/>
        </w:rPr>
        <w:t>(подрядчика, исполнителя)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35" w:bottom="1244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344170" distL="0" distR="0" simplePos="0" relativeHeight="125829381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139700</wp:posOffset>
                </wp:positionV>
                <wp:extent cx="189611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pt;margin-top:11.pt;width:149.30000000000001pt;height:19.699999999999999pt;z-index:-125829372;mso-wrap-distance-left:0;mso-wrap-distance-top:11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2725" distB="0" distL="0" distR="1786255" simplePos="0" relativeHeight="125829383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212725</wp:posOffset>
            </wp:positionV>
            <wp:extent cx="359410" cy="52451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617855</wp:posOffset>
                </wp:positionV>
                <wp:extent cx="128333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0.75pt;margin-top:48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300990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60000000000002pt;margin-top:23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344170" distL="0" distR="0" simplePos="0" relativeHeight="125829384" behindDoc="0" locked="0" layoutInCell="1" allowOverlap="1">
                <wp:simplePos x="0" y="0"/>
                <wp:positionH relativeFrom="page">
                  <wp:posOffset>6040120</wp:posOffset>
                </wp:positionH>
                <wp:positionV relativeFrom="paragraph">
                  <wp:posOffset>139700</wp:posOffset>
                </wp:positionV>
                <wp:extent cx="1176655" cy="2501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665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75.60000000000002pt;margin-top:11.pt;width:92.650000000000006pt;height:19.699999999999999pt;z-index:-125829369;mso-wrap-distance-left:0;mso-wrap-distance-top:11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6"/>
        </w:rPr>
        <w:t xml:space="preserve">Кому выдан: </w:t>
      </w:r>
      <w:r>
        <w:rPr>
          <w:rStyle w:val="CharStyle16"/>
          <w:color w:val="000000"/>
        </w:rPr>
        <w:t>МИРОНОВА ЕЛЕНА АЛЕКСАНДРОВНА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6"/>
        </w:rPr>
        <w:t xml:space="preserve">Сертификат </w:t>
      </w:r>
      <w:r>
        <w:rPr>
          <w:rStyle w:val="CharStyle16"/>
          <w:color w:val="292929"/>
        </w:rPr>
        <w:t xml:space="preserve">№ </w:t>
      </w:r>
      <w:r>
        <w:rPr>
          <w:rStyle w:val="CharStyle16"/>
          <w:lang w:val="en-US" w:eastAsia="en-US"/>
        </w:rPr>
        <w:t>3FC3074664AE0BF9622DE254DA2DA419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6"/>
        </w:rPr>
        <w:t xml:space="preserve">Действителен с 03.09.2025 </w:t>
      </w:r>
      <w:r>
        <w:rPr>
          <w:rStyle w:val="CharStyle16"/>
          <w:color w:val="5E5E5E"/>
        </w:rPr>
        <w:t xml:space="preserve">по </w:t>
      </w:r>
      <w:r>
        <w:rPr>
          <w:rStyle w:val="CharStyle16"/>
        </w:rPr>
        <w:t>27.1</w:t>
      </w:r>
      <w:r>
        <w:rPr>
          <w:rStyle w:val="CharStyle16"/>
          <w:color w:val="292929"/>
        </w:rPr>
        <w:t>1</w:t>
      </w:r>
      <w:r>
        <w:rPr>
          <w:rStyle w:val="CharStyle16"/>
        </w:rPr>
        <w:t>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50800</wp:posOffset>
            </wp:positionV>
            <wp:extent cx="359410" cy="53022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465455</wp:posOffset>
                </wp:positionV>
                <wp:extent cx="1283335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0.75pt;margin-top:36.64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60000000000002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16"/>
        </w:rPr>
        <w:t xml:space="preserve">Кому выдан: </w:t>
      </w:r>
      <w:r>
        <w:rPr>
          <w:rStyle w:val="CharStyle16"/>
          <w:color w:val="000000"/>
        </w:rPr>
        <w:t>Матюшенко Александр Александрович</w:t>
      </w:r>
      <w:r>
        <w:rPr>
          <w:rStyle w:val="CharStyle16"/>
          <w:color w:val="000000"/>
        </w:rPr>
        <w:t xml:space="preserve"> </w:t>
      </w:r>
      <w:r>
        <w:rPr>
          <w:rStyle w:val="CharStyle16"/>
        </w:rPr>
        <w:t xml:space="preserve">Сертификат </w:t>
      </w:r>
      <w:r>
        <w:rPr>
          <w:rStyle w:val="CharStyle16"/>
          <w:color w:val="292929"/>
        </w:rPr>
        <w:t xml:space="preserve">№ </w:t>
      </w:r>
      <w:r>
        <w:rPr>
          <w:rStyle w:val="CharStyle16"/>
          <w:lang w:val="en-US" w:eastAsia="en-US"/>
        </w:rPr>
        <w:t>4F595A5C3E5ABB2DD77161F08559FC07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0"/>
        <w:jc w:val="left"/>
      </w:pPr>
      <w:r>
        <w:rPr>
          <w:rStyle w:val="CharStyle16"/>
        </w:rPr>
        <w:t xml:space="preserve">Действителен с 22.07.2025 </w:t>
      </w:r>
      <w:r>
        <w:rPr>
          <w:rStyle w:val="CharStyle16"/>
          <w:color w:val="5E5E5E"/>
        </w:rPr>
        <w:t xml:space="preserve">по </w:t>
      </w:r>
      <w:r>
        <w:rPr>
          <w:rStyle w:val="CharStyle16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2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80.75pt;margin-top:36.899999999999999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2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77.60000000000002pt;margin-top:11.95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Леонова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6"/>
        </w:rPr>
        <w:t xml:space="preserve">Кому выдан: </w:t>
      </w:r>
      <w:r>
        <w:rPr>
          <w:rStyle w:val="CharStyle16"/>
          <w:color w:val="000000"/>
        </w:rPr>
        <w:t>Леонова Алена Альбертовна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6"/>
        </w:rPr>
        <w:t xml:space="preserve">Сертификат </w:t>
      </w:r>
      <w:r>
        <w:rPr>
          <w:rStyle w:val="CharStyle16"/>
          <w:color w:val="292929"/>
        </w:rPr>
        <w:t xml:space="preserve">№ </w:t>
      </w:r>
      <w:r>
        <w:rPr>
          <w:rStyle w:val="CharStyle16"/>
          <w:lang w:val="en-US" w:eastAsia="en-US"/>
        </w:rPr>
        <w:t>276EF4D805B62E966E204BCBEB72461C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100" w:line="240" w:lineRule="auto"/>
        <w:ind w:right="0" w:firstLine="0"/>
        <w:jc w:val="left"/>
      </w:pPr>
      <w:r>
        <w:rPr>
          <w:rStyle w:val="CharStyle16"/>
        </w:rPr>
        <w:t xml:space="preserve">Действителен с 05.12.2025 </w:t>
      </w:r>
      <w:r>
        <w:rPr>
          <w:rStyle w:val="CharStyle16"/>
          <w:color w:val="5E5E5E"/>
        </w:rPr>
        <w:t xml:space="preserve">по </w:t>
      </w:r>
      <w:r>
        <w:rPr>
          <w:rStyle w:val="CharStyle16"/>
        </w:rPr>
        <w:t>28.02.2027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1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</w:rPr>
                            <w:t>2026-24168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300000000000004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</w:rPr>
                      <w:t>2026-24168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10214610</wp:posOffset>
              </wp:positionV>
              <wp:extent cx="737870" cy="12827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  <w:lang w:val="ru-RU" w:eastAsia="ru-RU"/>
                            </w:rPr>
                            <w:t>2026-24168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75pt;margin-top:804.30000000000007pt;width:58.1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  <w:lang w:val="ru-RU" w:eastAsia="ru-RU"/>
                      </w:rPr>
                      <w:t>2026-24168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476250</wp:posOffset>
              </wp:positionV>
              <wp:extent cx="57785" cy="698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05000000000001pt;margin-top:37.5pt;width:4.54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Header or footer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2">
    <w:name w:val="Picture caption_"/>
    <w:basedOn w:val="DefaultParagraphFont"/>
    <w:link w:val="Style1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6">
    <w:name w:val="Body text (2)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1">
    <w:name w:val="Body text (4)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5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Header or footer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1">
    <w:name w:val="Picture caption"/>
    <w:basedOn w:val="Normal"/>
    <w:link w:val="CharStyle1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5">
    <w:name w:val="Body text (2)"/>
    <w:basedOn w:val="Normal"/>
    <w:link w:val="CharStyle16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0">
    <w:name w:val="Body text (4)"/>
    <w:basedOn w:val="Normal"/>
    <w:link w:val="CharStyle21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png"/><Relationship Id="rId16" Type="http://schemas.openxmlformats.org/officeDocument/2006/relationships/image" Target="media/image4.pn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Relationship Id="rId19" Type="http://schemas.openxmlformats.org/officeDocument/2006/relationships/image" Target="media/image6.jpeg"/><Relationship Id="rId20" Type="http://schemas.openxmlformats.org/officeDocument/2006/relationships/image" Target="media/image6.jpeg" TargetMode="External"/><Relationship Id="rId21" Type="http://schemas.openxmlformats.org/officeDocument/2006/relationships/image" Target="media/image7.jpeg"/><Relationship Id="rId22" Type="http://schemas.openxmlformats.org/officeDocument/2006/relationships/image" Target="media/image7.jpeg" TargetMode="External"/></Relationships>
</file>