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7055" distL="114300" distR="114300" simplePos="0" relativeHeight="125829379" behindDoc="0" locked="0" layoutInCell="1" allowOverlap="1">
                <wp:simplePos x="0" y="0"/>
                <wp:positionH relativeFrom="page">
                  <wp:posOffset>722630</wp:posOffset>
                </wp:positionH>
                <wp:positionV relativeFrom="paragraph">
                  <wp:posOffset>728980</wp:posOffset>
                </wp:positionV>
                <wp:extent cx="2581910" cy="2066290"/>
                <wp:wrapSquare wrapText="right"/>
                <wp:docPr id="3" name="Shape 3"/>
                <a:graphic xmlns:a="http://schemas.openxmlformats.org/drawingml/2006/main">
                  <a:graphicData uri="http://schemas.microsoft.com/office/word/2010/wordprocessingShape">
                    <wps:wsp>
                      <wps:cNvSpPr txBox="1"/>
                      <wps:spPr>
                        <a:xfrm>
                          <a:ext cx="2581910" cy="206629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14" w:val="left"/>
                              </w:tabs>
                              <w:bidi w:val="0"/>
                              <w:spacing w:before="0" w:line="240" w:lineRule="auto"/>
                              <w:ind w:left="0" w:right="0" w:firstLine="0"/>
                              <w:jc w:val="center"/>
                            </w:pPr>
                            <w:r>
                              <w:rPr>
                                <w:rStyle w:val="CharStyle8"/>
                              </w:rPr>
                              <w:t>1</w:t>
                            </w:r>
                            <w:r>
                              <w:fldChar w:fldCharType="begin"/>
                            </w:r>
                            <w:r>
                              <w:rPr/>
                              <w:instrText> HYPERLINK "file://f207ca94-a13c-4ba0-b72d-f018c9eed8f1/" </w:instrText>
                            </w:r>
                            <w:r>
                              <w:fldChar w:fldCharType="separate"/>
                            </w:r>
                            <w:r>
                              <w:rPr>
                                <w:rStyle w:val="CharStyle8"/>
                              </w:rPr>
                              <w:t>5.05.2026</w:t>
                            </w:r>
                            <w:r>
                              <w:fldChar w:fldCharType="end"/>
                            </w:r>
                            <w:r>
                              <w:rPr>
                                <w:rStyle w:val="CharStyle8"/>
                              </w:rPr>
                              <w:tab/>
                              <w:t>№ 3953/26</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57.399999999999999pt;width:203.30000000000001pt;height:162.70000000000002pt;z-index:-125829374;mso-wrap-distance-left:9.pt;mso-wrap-distance-top:56.399999999999999pt;mso-wrap-distance-right:9.pt;mso-wrap-distance-bottom:44.6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ind w:left="0" w:right="0" w:firstLine="0"/>
                        <w:jc w:val="center"/>
                      </w:pPr>
                      <w:r>
                        <w:rPr>
                          <w:rStyle w:val="CharStyle6"/>
                          <w:b/>
                          <w:bCs/>
                        </w:rP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rStyle w:val="CharStyle3"/>
                        </w:rPr>
                        <w:t>ул. Ленина, 64, г. Пермь, 614990</w:t>
                        <w:br/>
                        <w:t>тел. (342) 235-12-00, факс (342) 235-10-67</w:t>
                        <w:br/>
                      </w:r>
                      <w:r>
                        <w:rPr>
                          <w:rStyle w:val="CharStyle3"/>
                          <w:lang w:val="en-US" w:eastAsia="en-US"/>
                        </w:rPr>
                        <w:t xml:space="preserve">e-mail: </w:t>
                      </w:r>
                      <w:r>
                        <w:fldChar w:fldCharType="begin"/>
                      </w:r>
                      <w:r>
                        <w:rPr/>
                        <w:instrText> HYPERLINK "mailto:to59@fas.gov.ru" </w:instrText>
                      </w:r>
                      <w:r>
                        <w:fldChar w:fldCharType="separate"/>
                      </w:r>
                      <w:r>
                        <w:rPr>
                          <w:rStyle w:val="CharStyle3"/>
                          <w:lang w:val="en-US" w:eastAsia="en-US"/>
                        </w:rPr>
                        <w:t>to59@fas.gov.ru</w:t>
                      </w:r>
                      <w:r>
                        <w:fldChar w:fldCharType="end"/>
                      </w:r>
                    </w:p>
                    <w:p>
                      <w:pPr>
                        <w:pStyle w:val="Style2"/>
                        <w:keepNext w:val="0"/>
                        <w:keepLines w:val="0"/>
                        <w:widowControl w:val="0"/>
                        <w:shd w:val="clear" w:color="auto" w:fill="auto"/>
                        <w:bidi w:val="0"/>
                        <w:spacing w:before="0" w:after="80" w:line="240" w:lineRule="auto"/>
                        <w:ind w:left="0" w:right="0" w:firstLine="0"/>
                        <w:jc w:val="center"/>
                      </w:pPr>
                      <w:r>
                        <w:rPr>
                          <w:rStyle w:val="CharStyle3"/>
                        </w:rPr>
                        <w:t xml:space="preserve">сайт: </w:t>
                      </w:r>
                      <w:r>
                        <w:fldChar w:fldCharType="begin"/>
                      </w:r>
                      <w:r>
                        <w:rPr/>
                        <w:instrText> HYPERLINK "http://www.perm.fas.gov.ru" </w:instrText>
                      </w:r>
                      <w:r>
                        <w:fldChar w:fldCharType="separate"/>
                      </w:r>
                      <w:r>
                        <w:rPr>
                          <w:rStyle w:val="CharStyle3"/>
                          <w:lang w:val="en-US" w:eastAsia="en-US"/>
                        </w:rPr>
                        <w:t>www.perm.fas.gov.ru</w:t>
                      </w:r>
                      <w:r>
                        <w:fldChar w:fldCharType="end"/>
                      </w:r>
                    </w:p>
                    <w:p>
                      <w:pPr>
                        <w:pStyle w:val="Style7"/>
                        <w:keepNext w:val="0"/>
                        <w:keepLines w:val="0"/>
                        <w:widowControl w:val="0"/>
                        <w:shd w:val="clear" w:color="auto" w:fill="auto"/>
                        <w:tabs>
                          <w:tab w:pos="1814" w:val="left"/>
                        </w:tabs>
                        <w:bidi w:val="0"/>
                        <w:spacing w:before="0" w:line="240" w:lineRule="auto"/>
                        <w:ind w:left="0" w:right="0" w:firstLine="0"/>
                        <w:jc w:val="center"/>
                      </w:pPr>
                      <w:r>
                        <w:rPr>
                          <w:rStyle w:val="CharStyle8"/>
                        </w:rPr>
                        <w:t>1</w:t>
                      </w:r>
                      <w:r>
                        <w:fldChar w:fldCharType="begin"/>
                      </w:r>
                      <w:r>
                        <w:rPr/>
                        <w:instrText> HYPERLINK "file://f207ca94-a13c-4ba0-b72d-f018c9eed8f1/" </w:instrText>
                      </w:r>
                      <w:r>
                        <w:fldChar w:fldCharType="separate"/>
                      </w:r>
                      <w:r>
                        <w:rPr>
                          <w:rStyle w:val="CharStyle8"/>
                        </w:rPr>
                        <w:t>5.05.2026</w:t>
                      </w:r>
                      <w:r>
                        <w:fldChar w:fldCharType="end"/>
                      </w:r>
                      <w:r>
                        <w:rPr>
                          <w:rStyle w:val="CharStyle8"/>
                        </w:rPr>
                        <w:tab/>
                        <w:t>№ 3953/26</w:t>
                      </w:r>
                    </w:p>
                    <w:p>
                      <w:pPr>
                        <w:pStyle w:val="Style5"/>
                        <w:keepNext w:val="0"/>
                        <w:keepLines w:val="0"/>
                        <w:widowControl w:val="0"/>
                        <w:shd w:val="clear" w:color="auto" w:fill="auto"/>
                        <w:bidi w:val="0"/>
                        <w:spacing w:before="0" w:after="160" w:line="266" w:lineRule="auto"/>
                        <w:ind w:left="0" w:right="0" w:firstLine="0"/>
                        <w:jc w:val="center"/>
                        <w:rPr>
                          <w:sz w:val="18"/>
                          <w:szCs w:val="18"/>
                        </w:rPr>
                      </w:pPr>
                      <w:r>
                        <w:rPr>
                          <w:rStyle w:val="CharStyle6"/>
                          <w:sz w:val="18"/>
                          <w:szCs w:val="18"/>
                        </w:rPr>
                        <w:t xml:space="preserve">На №  от</w:t>
                      </w:r>
                    </w:p>
                  </w:txbxContent>
                </v:textbox>
                <w10:wrap type="square" side="right" anchorx="page"/>
              </v:shape>
            </w:pict>
          </mc:Fallback>
        </mc:AlternateContent>
      </w:r>
      <w:r>
        <mc:AlternateContent>
          <mc:Choice Requires="wps">
            <w:drawing>
              <wp:anchor distT="3130550" distB="0" distL="163195" distR="2052955" simplePos="0" relativeHeight="125829381" behindDoc="0" locked="0" layoutInCell="1" allowOverlap="1">
                <wp:simplePos x="0" y="0"/>
                <wp:positionH relativeFrom="page">
                  <wp:posOffset>771525</wp:posOffset>
                </wp:positionH>
                <wp:positionV relativeFrom="paragraph">
                  <wp:posOffset>3143250</wp:posOffset>
                </wp:positionV>
                <wp:extent cx="594360" cy="219710"/>
                <wp:wrapSquare wrapText="right"/>
                <wp:docPr id="5" name="Shape 5"/>
                <a:graphic xmlns:a="http://schemas.openxmlformats.org/drawingml/2006/main">
                  <a:graphicData uri="http://schemas.microsoft.com/office/word/2010/wordprocessingShape">
                    <wps:wsp>
                      <wps:cNvSpPr txBox="1"/>
                      <wps:spPr>
                        <a:xfrm>
                          <a:ext cx="59436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Решение</w:t>
                            </w:r>
                          </w:p>
                        </w:txbxContent>
                      </wps:txbx>
                      <wps:bodyPr wrap="none" lIns="0" tIns="0" rIns="0" bIns="0">
                        <a:noAutoFit/>
                      </wps:bodyPr>
                    </wps:wsp>
                  </a:graphicData>
                </a:graphic>
              </wp:anchor>
            </w:drawing>
          </mc:Choice>
          <mc:Fallback>
            <w:pict>
              <v:shape id="_x0000_s1031" type="#_x0000_t202" style="position:absolute;margin-left:60.75pt;margin-top:247.5pt;width:46.800000000000004pt;height:17.300000000000001pt;z-index:-125829372;mso-wrap-distance-left:12.85pt;mso-wrap-distance-top:246.5pt;mso-wrap-distance-right:161.65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Решение</w:t>
                      </w:r>
                    </w:p>
                  </w:txbxContent>
                </v:textbox>
                <w10:wrap type="square" side="right" anchorx="page"/>
              </v:shape>
            </w:pict>
          </mc:Fallback>
        </mc:AlternateContent>
      </w:r>
    </w:p>
    <w:p>
      <w:pPr>
        <w:pStyle w:val="Style16"/>
        <w:keepNext/>
        <w:keepLines/>
        <w:widowControl w:val="0"/>
        <w:shd w:val="clear" w:color="auto" w:fill="auto"/>
        <w:bidi w:val="0"/>
        <w:spacing w:before="0" w:after="0" w:line="240" w:lineRule="auto"/>
        <w:ind w:left="940" w:right="0" w:firstLine="0"/>
        <w:jc w:val="both"/>
      </w:pPr>
      <w:bookmarkStart w:id="0" w:name="bookmark0"/>
      <w:r>
        <w:rPr>
          <w:rStyle w:val="CharStyle17"/>
          <w:b/>
          <w:bCs/>
        </w:rPr>
        <w:t>Общество с ограниченной ответственностью «Цифровые Системы Безопасности»</w:t>
      </w:r>
      <w:bookmarkEnd w:id="0"/>
    </w:p>
    <w:p>
      <w:pPr>
        <w:pStyle w:val="Style10"/>
        <w:keepNext w:val="0"/>
        <w:keepLines w:val="0"/>
        <w:widowControl w:val="0"/>
        <w:shd w:val="clear" w:color="auto" w:fill="auto"/>
        <w:bidi w:val="0"/>
        <w:spacing w:before="0" w:after="240" w:line="240" w:lineRule="auto"/>
        <w:ind w:left="940" w:right="0" w:firstLine="0"/>
        <w:jc w:val="both"/>
      </w:pPr>
      <w:r>
        <w:rPr>
          <w:rStyle w:val="CharStyle11"/>
        </w:rPr>
        <w:t xml:space="preserve">614066, Пермский край, г. Пермь, ш. Космонавтов, д. 111и, к. 1, помещ. 309 </w:t>
      </w:r>
      <w:r>
        <w:rPr>
          <w:rStyle w:val="CharStyle11"/>
          <w:lang w:val="en-US" w:eastAsia="en-US"/>
        </w:rPr>
        <w:t>info@ds.systems</w:t>
      </w:r>
    </w:p>
    <w:p>
      <w:pPr>
        <w:pStyle w:val="Style10"/>
        <w:keepNext w:val="0"/>
        <w:keepLines w:val="0"/>
        <w:widowControl w:val="0"/>
        <w:shd w:val="clear" w:color="auto" w:fill="auto"/>
        <w:bidi w:val="0"/>
        <w:spacing w:before="0" w:after="0" w:line="240" w:lineRule="auto"/>
        <w:ind w:left="940" w:right="0" w:firstLine="0"/>
        <w:jc w:val="both"/>
      </w:pPr>
      <w:r>
        <w:rPr>
          <w:rStyle w:val="CharStyle11"/>
          <w:b/>
          <w:bCs/>
        </w:rPr>
        <w:t>Муниципальное казенное учреждение «Пермское городское управление гражданской защиты»</w:t>
      </w:r>
    </w:p>
    <w:p>
      <w:pPr>
        <w:pStyle w:val="Style10"/>
        <w:keepNext w:val="0"/>
        <w:keepLines w:val="0"/>
        <w:widowControl w:val="0"/>
        <w:shd w:val="clear" w:color="auto" w:fill="auto"/>
        <w:bidi w:val="0"/>
        <w:spacing w:before="0" w:after="0" w:line="240" w:lineRule="auto"/>
        <w:ind w:left="0" w:right="0" w:firstLine="940"/>
        <w:jc w:val="both"/>
      </w:pPr>
      <w:r>
        <w:rPr>
          <w:rStyle w:val="CharStyle11"/>
        </w:rPr>
        <w:t>614015, Пермский край, г. Пермь, ул. 25</w:t>
      </w:r>
    </w:p>
    <w:p>
      <w:pPr>
        <w:pStyle w:val="Style10"/>
        <w:keepNext w:val="0"/>
        <w:keepLines w:val="0"/>
        <w:widowControl w:val="0"/>
        <w:shd w:val="clear" w:color="auto" w:fill="auto"/>
        <w:bidi w:val="0"/>
        <w:spacing w:before="0" w:after="0" w:line="240" w:lineRule="auto"/>
        <w:ind w:left="0" w:right="0" w:firstLine="940"/>
        <w:jc w:val="left"/>
      </w:pPr>
      <w:r>
        <w:rPr>
          <w:rStyle w:val="CharStyle11"/>
        </w:rPr>
        <w:t>Октября, 22Б</w:t>
      </w:r>
    </w:p>
    <w:p>
      <w:pPr>
        <w:pStyle w:val="Style10"/>
        <w:keepNext w:val="0"/>
        <w:keepLines w:val="0"/>
        <w:widowControl w:val="0"/>
        <w:shd w:val="clear" w:color="auto" w:fill="auto"/>
        <w:bidi w:val="0"/>
        <w:spacing w:before="0" w:after="240" w:line="240" w:lineRule="auto"/>
        <w:ind w:left="0" w:right="0" w:firstLine="940"/>
        <w:jc w:val="left"/>
      </w:pPr>
      <w:r>
        <w:fldChar w:fldCharType="begin"/>
      </w:r>
      <w:r>
        <w:rPr/>
        <w:instrText> HYPERLINK "mailto:ugz@gorodperm.ru" </w:instrText>
      </w:r>
      <w:r>
        <w:fldChar w:fldCharType="separate"/>
      </w:r>
      <w:r>
        <w:rPr>
          <w:rStyle w:val="CharStyle11"/>
          <w:lang w:val="en-US" w:eastAsia="en-US"/>
        </w:rPr>
        <w:t>ugz@gorodperm.ru</w:t>
      </w:r>
      <w:r>
        <w:fldChar w:fldCharType="end"/>
      </w:r>
    </w:p>
    <w:p>
      <w:pPr>
        <w:pStyle w:val="Style16"/>
        <w:keepNext/>
        <w:keepLines/>
        <w:widowControl w:val="0"/>
        <w:shd w:val="clear" w:color="auto" w:fill="auto"/>
        <w:bidi w:val="0"/>
        <w:spacing w:before="0" w:after="0" w:line="240" w:lineRule="auto"/>
        <w:ind w:left="0" w:right="0" w:firstLine="940"/>
        <w:jc w:val="left"/>
      </w:pPr>
      <w:bookmarkStart w:id="2" w:name="bookmark2"/>
      <w:r>
        <w:rPr>
          <w:rStyle w:val="CharStyle17"/>
          <w:b/>
          <w:bCs/>
        </w:rPr>
        <w:t>ГКУ ПК «ЦОЗ»</w:t>
      </w:r>
      <w:bookmarkEnd w:id="2"/>
    </w:p>
    <w:p>
      <w:pPr>
        <w:pStyle w:val="Style10"/>
        <w:keepNext w:val="0"/>
        <w:keepLines w:val="0"/>
        <w:widowControl w:val="0"/>
        <w:shd w:val="clear" w:color="auto" w:fill="auto"/>
        <w:bidi w:val="0"/>
        <w:spacing w:before="0" w:after="0" w:line="240" w:lineRule="auto"/>
        <w:ind w:left="940" w:right="0" w:firstLine="0"/>
        <w:jc w:val="both"/>
      </w:pPr>
      <w:r>
        <w:rPr>
          <w:rStyle w:val="CharStyle11"/>
        </w:rPr>
        <w:t>614990, г. Пермь, ул. Петропавловская, д. 53, оф. 100</w:t>
      </w:r>
    </w:p>
    <w:p>
      <w:pPr>
        <w:pStyle w:val="Style10"/>
        <w:keepNext w:val="0"/>
        <w:keepLines w:val="0"/>
        <w:widowControl w:val="0"/>
        <w:shd w:val="clear" w:color="auto" w:fill="auto"/>
        <w:bidi w:val="0"/>
        <w:spacing w:before="0" w:after="240" w:line="240" w:lineRule="auto"/>
        <w:ind w:left="5220" w:right="0" w:firstLine="0"/>
        <w:jc w:val="both"/>
      </w:pPr>
      <w:r>
        <w:fldChar w:fldCharType="begin"/>
      </w:r>
      <w:r>
        <w:rPr/>
        <w:instrText> HYPERLINK "mailto:info@cz.permkrai.ru" </w:instrText>
      </w:r>
      <w:r>
        <w:fldChar w:fldCharType="separate"/>
      </w:r>
      <w:r>
        <w:rPr>
          <w:rStyle w:val="CharStyle11"/>
          <w:lang w:val="en-US" w:eastAsia="en-US"/>
        </w:rPr>
        <w:t>info@cz.permkrai.ru</w:t>
      </w:r>
      <w:r>
        <w:fldChar w:fldCharType="end"/>
      </w:r>
    </w:p>
    <w:p>
      <w:pPr>
        <w:pStyle w:val="Style16"/>
        <w:keepNext/>
        <w:keepLines/>
        <w:widowControl w:val="0"/>
        <w:shd w:val="clear" w:color="auto" w:fill="auto"/>
        <w:bidi w:val="0"/>
        <w:spacing w:before="0" w:after="0" w:line="240" w:lineRule="auto"/>
        <w:ind w:left="5220" w:right="0" w:firstLine="0"/>
        <w:jc w:val="both"/>
      </w:pPr>
      <w:bookmarkStart w:id="4" w:name="bookmark4"/>
      <w:r>
        <w:rPr>
          <w:rStyle w:val="CharStyle17"/>
          <w:b/>
          <w:bCs/>
        </w:rPr>
        <w:t>АО «ЭТС» (ЭТП «Фабрикант»)</w:t>
      </w:r>
      <w:bookmarkEnd w:id="4"/>
    </w:p>
    <w:p>
      <w:pPr>
        <w:pStyle w:val="Style10"/>
        <w:keepNext w:val="0"/>
        <w:keepLines w:val="0"/>
        <w:widowControl w:val="0"/>
        <w:shd w:val="clear" w:color="auto" w:fill="auto"/>
        <w:bidi w:val="0"/>
        <w:spacing w:before="0" w:after="0" w:line="240" w:lineRule="auto"/>
        <w:ind w:left="5220" w:right="0" w:firstLine="0"/>
        <w:jc w:val="both"/>
      </w:pPr>
      <w:r>
        <w:fldChar w:fldCharType="begin"/>
      </w:r>
      <w:r>
        <w:rPr/>
        <w:instrText> HYPERLINK "mailto:auditors@fabrikant.ru" </w:instrText>
      </w:r>
      <w:r>
        <w:fldChar w:fldCharType="separate"/>
      </w:r>
      <w:r>
        <w:rPr>
          <w:rStyle w:val="CharStyle11"/>
          <w:lang w:val="en-US" w:eastAsia="en-US"/>
        </w:rPr>
        <w:t>auditors@fabrikant.ru</w:t>
      </w:r>
      <w:r>
        <w:fldChar w:fldCharType="end"/>
      </w:r>
    </w:p>
    <w:p>
      <w:pPr>
        <w:pStyle w:val="Style10"/>
        <w:keepNext w:val="0"/>
        <w:keepLines w:val="0"/>
        <w:widowControl w:val="0"/>
        <w:shd w:val="clear" w:color="auto" w:fill="auto"/>
        <w:bidi w:val="0"/>
        <w:spacing w:before="0" w:after="340" w:line="240" w:lineRule="auto"/>
        <w:ind w:left="5220" w:right="0" w:firstLine="0"/>
        <w:jc w:val="both"/>
      </w:pPr>
      <w:r>
        <w:fldChar w:fldCharType="begin"/>
      </w:r>
      <w:r>
        <w:rPr/>
        <w:instrText> HYPERLINK "mailto:auditors@etpz.ru" </w:instrText>
      </w:r>
      <w:r>
        <w:fldChar w:fldCharType="separate"/>
      </w:r>
      <w:r>
        <w:rPr>
          <w:rStyle w:val="CharStyle11"/>
          <w:lang w:val="en-US" w:eastAsia="en-US"/>
        </w:rPr>
        <w:t>auditors@etpz.ru</w:t>
      </w:r>
      <w:r>
        <w:fldChar w:fldCharType="end"/>
      </w:r>
    </w:p>
    <w:p>
      <w:pPr>
        <w:pStyle w:val="Style10"/>
        <w:keepNext w:val="0"/>
        <w:keepLines w:val="0"/>
        <w:widowControl w:val="0"/>
        <w:shd w:val="clear" w:color="auto" w:fill="auto"/>
        <w:bidi w:val="0"/>
        <w:spacing w:before="0" w:after="240" w:line="240" w:lineRule="auto"/>
        <w:ind w:left="0" w:right="0" w:firstLine="0"/>
        <w:jc w:val="center"/>
      </w:pPr>
      <w:r>
        <w:rPr>
          <w:rStyle w:val="CharStyle11"/>
          <w:b/>
          <w:bCs/>
        </w:rPr>
        <w:t>РЕШЕНИЕ по делу 059/06/105-521/2026</w:t>
        <w:br/>
      </w:r>
      <w:r>
        <w:rPr>
          <w:rStyle w:val="CharStyle11"/>
        </w:rPr>
        <w:t>(жалоба ООО «ЦСБ», вх. № 5818/26 от 04.05.2026 г.)</w:t>
      </w:r>
    </w:p>
    <w:p>
      <w:pPr>
        <w:pStyle w:val="Style16"/>
        <w:keepNext/>
        <w:keepLines/>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6550025</wp:posOffset>
                </wp:positionH>
                <wp:positionV relativeFrom="paragraph">
                  <wp:posOffset>12700</wp:posOffset>
                </wp:positionV>
                <wp:extent cx="606425" cy="222250"/>
                <wp:wrapSquare wrapText="left"/>
                <wp:docPr id="7" name="Shape 7"/>
                <a:graphic xmlns:a="http://schemas.openxmlformats.org/drawingml/2006/main">
                  <a:graphicData uri="http://schemas.microsoft.com/office/word/2010/wordprocessingShape">
                    <wps:wsp>
                      <wps:cNvSpPr txBox="1"/>
                      <wps:spPr>
                        <a:xfrm>
                          <a:ext cx="606425" cy="2222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b/>
                                <w:bCs/>
                              </w:rPr>
                              <w:t>г. Пермь</w:t>
                            </w:r>
                          </w:p>
                        </w:txbxContent>
                      </wps:txbx>
                      <wps:bodyPr wrap="none" lIns="0" tIns="0" rIns="0" bIns="0">
                        <a:noAutoFit/>
                      </wps:bodyPr>
                    </wps:wsp>
                  </a:graphicData>
                </a:graphic>
              </wp:anchor>
            </w:drawing>
          </mc:Choice>
          <mc:Fallback>
            <w:pict>
              <v:shape id="_x0000_s1033" type="#_x0000_t202" style="position:absolute;margin-left:515.75pt;margin-top:1.pt;width:47.75pt;height:17.5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b/>
                          <w:bCs/>
                        </w:rPr>
                        <w:t>г. Пермь</w:t>
                      </w:r>
                    </w:p>
                  </w:txbxContent>
                </v:textbox>
                <w10:wrap type="square" side="left" anchorx="page"/>
              </v:shape>
            </w:pict>
          </mc:Fallback>
        </mc:AlternateContent>
      </w:r>
      <w:bookmarkStart w:id="6" w:name="bookmark6"/>
      <w:r>
        <w:rPr>
          <w:rStyle w:val="CharStyle17"/>
          <w:b/>
          <w:bCs/>
        </w:rPr>
        <w:t>12.05.2026 г.</w:t>
      </w:r>
      <w:bookmarkEnd w:id="6"/>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Управления Федеральной антимонопольной службы по Пермскому краю (далее – Комиссия) в составе:</w:t>
      </w:r>
    </w:p>
    <w:p>
      <w:pPr>
        <w:pStyle w:val="Style10"/>
        <w:keepNext w:val="0"/>
        <w:keepLines w:val="0"/>
        <w:widowControl w:val="0"/>
        <w:shd w:val="clear" w:color="auto" w:fill="auto"/>
        <w:bidi w:val="0"/>
        <w:spacing w:before="0" w:after="0" w:line="240" w:lineRule="auto"/>
        <w:ind w:left="720" w:right="0" w:firstLine="0"/>
        <w:jc w:val="left"/>
      </w:pPr>
      <w:r>
        <w:rPr>
          <w:rStyle w:val="CharStyle11"/>
        </w:rPr>
        <w:t>Председатель Комиссии – Субботина Е.С., начальник отдела контроля закупок, члены комиссии:</w:t>
      </w:r>
    </w:p>
    <w:p>
      <w:pPr>
        <w:pStyle w:val="Style10"/>
        <w:keepNext w:val="0"/>
        <w:keepLines w:val="0"/>
        <w:widowControl w:val="0"/>
        <w:numPr>
          <w:ilvl w:val="0"/>
          <w:numId w:val="1"/>
        </w:numPr>
        <w:shd w:val="clear" w:color="auto" w:fill="auto"/>
        <w:tabs>
          <w:tab w:pos="997" w:val="left"/>
        </w:tabs>
        <w:bidi w:val="0"/>
        <w:spacing w:before="0" w:after="0" w:line="240" w:lineRule="auto"/>
        <w:ind w:left="720" w:right="0" w:firstLine="0"/>
        <w:jc w:val="left"/>
      </w:pPr>
      <w:r>
        <w:rPr>
          <w:rStyle w:val="CharStyle11"/>
        </w:rPr>
        <w:t>Тарасов К.Ю., ведущий специалист-эксперт отдела контроля закупок,</w:t>
      </w:r>
    </w:p>
    <w:p>
      <w:pPr>
        <w:pStyle w:val="Style10"/>
        <w:keepNext w:val="0"/>
        <w:keepLines w:val="0"/>
        <w:widowControl w:val="0"/>
        <w:numPr>
          <w:ilvl w:val="0"/>
          <w:numId w:val="1"/>
        </w:numPr>
        <w:shd w:val="clear" w:color="auto" w:fill="auto"/>
        <w:tabs>
          <w:tab w:pos="997" w:val="left"/>
        </w:tabs>
        <w:bidi w:val="0"/>
        <w:spacing w:before="0" w:after="0" w:line="240" w:lineRule="auto"/>
        <w:ind w:left="720" w:right="0" w:firstLine="0"/>
        <w:jc w:val="left"/>
      </w:pPr>
      <w:r>
        <w:rPr>
          <w:rStyle w:val="CharStyle11"/>
        </w:rPr>
        <w:t>Чудинов А.М., ведущий специалист-эксперт отдела контроля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присутствии посредством видеоконференц-связи представителя ГКУ ПК «ЦОЗ» - Никитиной Марии Александровны (действующей на основании доверенности № 4 от 12.01.2026 г.), в присутствии посредством видеоконференц-связи начальника МКУ ПГУГЗ – Фаткуллина Руслана Фаридзяновича (действующего на основании распоряжения),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отсутствие представителей ООО «ЦСБ» (извещены надлежащим образом посредством функционала ЕИС в сфере закупок в порядке, предусмотренном п. 1 ч. 8 ст. 105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w:t>
      </w:r>
    </w:p>
    <w:p>
      <w:pPr>
        <w:pStyle w:val="Style10"/>
        <w:keepNext w:val="0"/>
        <w:keepLines w:val="0"/>
        <w:widowControl w:val="0"/>
        <w:shd w:val="clear" w:color="auto" w:fill="auto"/>
        <w:bidi w:val="0"/>
        <w:spacing w:before="0" w:after="240" w:line="240" w:lineRule="auto"/>
        <w:ind w:left="0" w:right="0" w:firstLine="720"/>
        <w:jc w:val="both"/>
      </w:pPr>
      <w:r>
        <w:rPr>
          <w:rStyle w:val="CharStyle11"/>
        </w:rPr>
        <w:t>рассмотрев жалобу ООО «ЦСБ» (далее – Заявитель) на действия ГКУ ПК «ЦОЗ» (далее – Уполномоченное учреждение), МКУ ПГУГЗ (далее – Заказчик) при проведении открытого аукциона в электронной форме на развитие муниципальной системы оповещения населения города Перми (изв. № 0356500001426003693),</w:t>
      </w:r>
    </w:p>
    <w:p>
      <w:pPr>
        <w:pStyle w:val="Style10"/>
        <w:keepNext w:val="0"/>
        <w:keepLines w:val="0"/>
        <w:widowControl w:val="0"/>
        <w:shd w:val="clear" w:color="auto" w:fill="auto"/>
        <w:bidi w:val="0"/>
        <w:spacing w:before="0" w:after="640" w:line="240" w:lineRule="auto"/>
        <w:ind w:left="0" w:right="0" w:firstLine="0"/>
        <w:jc w:val="center"/>
      </w:pPr>
      <w:r>
        <w:rPr>
          <w:rStyle w:val="CharStyle11"/>
          <w:b/>
          <w:bCs/>
        </w:rPr>
        <w:t>УСТАНОВИЛА:</w:t>
      </w:r>
    </w:p>
    <w:p>
      <w:pPr>
        <w:pStyle w:val="Style21"/>
        <w:keepNext/>
        <w:keepLines/>
        <w:widowControl w:val="0"/>
        <w:shd w:val="clear" w:color="auto" w:fill="auto"/>
        <w:bidi w:val="0"/>
        <w:spacing w:before="0" w:line="240" w:lineRule="auto"/>
        <w:ind w:left="0" w:right="0" w:firstLine="0"/>
        <w:jc w:val="left"/>
      </w:pPr>
      <w:bookmarkStart w:id="8" w:name="bookmark8"/>
      <w:r>
        <w:rPr>
          <w:rStyle w:val="CharStyle22"/>
        </w:rPr>
        <w:t>IIIIIIIIIIIIIIIIIIIIIIII</w:t>
      </w:r>
      <w:bookmarkEnd w:id="8"/>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Заявитель полагает, что нормы Закона о закупках нарушены действиями Заказчика. Уведомлением Пермского УФАС России рассмотрение жалобы было назначено на </w:t>
      </w:r>
      <w:r>
        <w:rPr>
          <w:rStyle w:val="CharStyle11"/>
          <w:lang w:val="en-US" w:eastAsia="en-US"/>
        </w:rPr>
        <w:t xml:space="preserve">07.05.2026 </w:t>
      </w:r>
      <w:r>
        <w:rPr>
          <w:rStyle w:val="CharStyle11"/>
        </w:rPr>
        <w:t xml:space="preserve">г. в </w:t>
      </w:r>
      <w:r>
        <w:rPr>
          <w:rStyle w:val="CharStyle11"/>
          <w:lang w:val="en-US" w:eastAsia="en-US"/>
        </w:rPr>
        <w:t xml:space="preserve">10:00 </w:t>
      </w:r>
      <w:r>
        <w:rPr>
          <w:rStyle w:val="CharStyle11"/>
        </w:rPr>
        <w:t xml:space="preserve">ч. В ходе заседания Комиссии объявлен перерыв до </w:t>
      </w:r>
      <w:r>
        <w:rPr>
          <w:rStyle w:val="CharStyle11"/>
          <w:lang w:val="en-US" w:eastAsia="en-US"/>
        </w:rPr>
        <w:t xml:space="preserve">12.05.2026 </w:t>
      </w:r>
      <w:r>
        <w:rPr>
          <w:rStyle w:val="CharStyle11"/>
        </w:rPr>
        <w:t>г. с целью изучения документов, анализа материалов жалобы и принятия решения.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b/>
          <w:bCs/>
        </w:rPr>
        <w:t xml:space="preserve">В ходе рассмотрения жалобы и в ходе проведения внеплановой проверки, осуществленной Комиссией Пермского УФАС России в соответствии с ч. </w:t>
      </w:r>
      <w:r>
        <w:rPr>
          <w:rStyle w:val="CharStyle11"/>
          <w:b/>
          <w:bCs/>
          <w:lang w:val="en-US" w:eastAsia="en-US"/>
        </w:rPr>
        <w:t xml:space="preserve">3 </w:t>
      </w:r>
      <w:r>
        <w:rPr>
          <w:rStyle w:val="CharStyle11"/>
          <w:b/>
          <w:bCs/>
        </w:rPr>
        <w:t xml:space="preserve">ст. </w:t>
      </w:r>
      <w:r>
        <w:rPr>
          <w:rStyle w:val="CharStyle11"/>
          <w:b/>
          <w:bCs/>
          <w:lang w:val="en-US" w:eastAsia="en-US"/>
        </w:rPr>
        <w:t xml:space="preserve">99 </w:t>
      </w:r>
      <w:r>
        <w:rPr>
          <w:rStyle w:val="CharStyle11"/>
          <w:b/>
          <w:bCs/>
        </w:rPr>
        <w:t>Закона о закупках установлено следующее.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Извещением </w:t>
      </w:r>
      <w:r>
        <w:rPr>
          <w:rStyle w:val="CharStyle11"/>
          <w:lang w:val="en-US" w:eastAsia="en-US"/>
        </w:rPr>
        <w:t xml:space="preserve">№ 0356500001426003693 </w:t>
      </w:r>
      <w:r>
        <w:rPr>
          <w:rStyle w:val="CharStyle11"/>
        </w:rPr>
        <w:t xml:space="preserve">от </w:t>
      </w:r>
      <w:r>
        <w:rPr>
          <w:rStyle w:val="CharStyle11"/>
          <w:lang w:val="en-US" w:eastAsia="en-US"/>
        </w:rPr>
        <w:t xml:space="preserve">28.04.2026 </w:t>
      </w:r>
      <w:r>
        <w:rPr>
          <w:rStyle w:val="CharStyle11"/>
        </w:rPr>
        <w:t xml:space="preserve">г. со стороны Заказчика было объявлено о проведении открытого аукциона в электронной форме на развитие муниципальной системы оповещения населения города Перми по начальной(максимальной) цене контракта в размере </w:t>
      </w:r>
      <w:r>
        <w:rPr>
          <w:rStyle w:val="CharStyle11"/>
          <w:lang w:val="en-US" w:eastAsia="en-US"/>
        </w:rPr>
        <w:t xml:space="preserve">16 448 200,00 </w:t>
      </w:r>
      <w:r>
        <w:rPr>
          <w:rStyle w:val="CharStyle11"/>
        </w:rPr>
        <w:t xml:space="preserve">руб. и окончанием срока подачи заявок </w:t>
      </w:r>
      <w:r>
        <w:rPr>
          <w:rStyle w:val="CharStyle11"/>
          <w:lang w:val="en-US" w:eastAsia="en-US"/>
        </w:rPr>
        <w:t xml:space="preserve">06.05.2026 </w:t>
      </w:r>
      <w:r>
        <w:rPr>
          <w:rStyle w:val="CharStyle11"/>
        </w:rPr>
        <w:t>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материалах жалобы со стороны Заявителя сообщается, что при описании объекта оспариваемой закупки в нарушение требований законодательства о контрактной системе не указано о применении мер, предусмотренных подп. «б»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 xml:space="preserve">Закона о закупках в отношении поставляемого товара. При этом неверный выбор со стороны Заказчика, Уполномоченного учреждения кода по Общероссийскому классификатору продукции по видам экономической деятельности (ОКПД </w:t>
      </w:r>
      <w:r>
        <w:rPr>
          <w:rStyle w:val="CharStyle11"/>
          <w:lang w:val="en-US" w:eastAsia="en-US"/>
        </w:rPr>
        <w:t xml:space="preserve">2) </w:t>
      </w:r>
      <w:r>
        <w:rPr>
          <w:rStyle w:val="CharStyle11"/>
        </w:rPr>
        <w:t xml:space="preserve">(утв. Приказом Росстандарта от </w:t>
      </w:r>
      <w:r>
        <w:rPr>
          <w:rStyle w:val="CharStyle11"/>
          <w:lang w:val="en-US" w:eastAsia="en-US"/>
        </w:rPr>
        <w:t xml:space="preserve">31.01.2014 N </w:t>
      </w:r>
      <w:r>
        <w:rPr>
          <w:rStyle w:val="CharStyle11"/>
        </w:rPr>
        <w:t xml:space="preserve">14-ст) (далее </w:t>
      </w:r>
      <w:r>
        <w:rPr>
          <w:rStyle w:val="CharStyle11"/>
          <w:lang w:val="en-US" w:eastAsia="en-US"/>
        </w:rPr>
        <w:t xml:space="preserve">– </w:t>
      </w:r>
      <w:r>
        <w:rPr>
          <w:rStyle w:val="CharStyle11"/>
        </w:rPr>
        <w:t xml:space="preserve">ОКПД2) позволяет заказчику выбрать форму закупки в соответствии с распоряжением Правительства РФ от </w:t>
      </w:r>
      <w:r>
        <w:rPr>
          <w:rStyle w:val="CharStyle11"/>
          <w:lang w:val="en-US" w:eastAsia="en-US"/>
        </w:rPr>
        <w:t xml:space="preserve">21.03.2016 </w:t>
      </w:r>
      <w:r>
        <w:rPr>
          <w:rStyle w:val="CharStyle11"/>
        </w:rPr>
        <w:t xml:space="preserve">г. </w:t>
      </w:r>
      <w:r>
        <w:rPr>
          <w:rStyle w:val="CharStyle11"/>
          <w:lang w:val="en-US" w:eastAsia="en-US"/>
        </w:rPr>
        <w:t xml:space="preserve">№ </w:t>
      </w:r>
      <w:r>
        <w:rPr>
          <w:rStyle w:val="CharStyle11"/>
        </w:rPr>
        <w:t xml:space="preserve">471-р «О перечне товаров, работ, услуг, в случае осуществления закупок которых заказчик обязан проводить аукцион в электронной форме (электронный аукцион)», что является нарушением порядка выбора способа определения поставщика, определенного статьей </w:t>
      </w:r>
      <w:r>
        <w:rPr>
          <w:rStyle w:val="CharStyle11"/>
          <w:lang w:val="en-US" w:eastAsia="en-US"/>
        </w:rPr>
        <w:t xml:space="preserve">24 </w:t>
      </w:r>
      <w:r>
        <w:rPr>
          <w:rStyle w:val="CharStyle11"/>
        </w:rPr>
        <w:t xml:space="preserve">Закона о закупках. Более того, со стороны Заявителя сообщается о недопустимости применения сирены модели </w:t>
      </w:r>
      <w:r>
        <w:rPr>
          <w:rStyle w:val="CharStyle11"/>
          <w:lang w:val="en-US" w:eastAsia="en-US"/>
        </w:rPr>
        <w:t xml:space="preserve">LK-M2 </w:t>
      </w:r>
      <w:r>
        <w:rPr>
          <w:rStyle w:val="CharStyle11"/>
        </w:rPr>
        <w:t xml:space="preserve">исходя из требований постановления Правительства РФ от </w:t>
      </w:r>
      <w:r>
        <w:rPr>
          <w:rStyle w:val="CharStyle11"/>
          <w:lang w:val="en-US" w:eastAsia="en-US"/>
        </w:rPr>
        <w:t xml:space="preserve">17.05.2023 </w:t>
      </w:r>
      <w:r>
        <w:rPr>
          <w:rStyle w:val="CharStyle11"/>
        </w:rPr>
        <w:t xml:space="preserve">г. </w:t>
      </w:r>
      <w:r>
        <w:rPr>
          <w:rStyle w:val="CharStyle11"/>
          <w:lang w:val="en-US" w:eastAsia="en-US"/>
        </w:rPr>
        <w:t xml:space="preserve">№ 769 </w:t>
      </w:r>
      <w:r>
        <w:rPr>
          <w:rStyle w:val="CharStyle11"/>
        </w:rPr>
        <w:t xml:space="preserve">«О порядке создания, реконструкции и поддержания в состоянии постоянной готовности к использованию систем оповещения населения» (далее </w:t>
      </w:r>
      <w:r>
        <w:rPr>
          <w:rStyle w:val="CharStyle11"/>
          <w:lang w:val="en-US" w:eastAsia="en-US"/>
        </w:rPr>
        <w:t xml:space="preserve">– </w:t>
      </w:r>
      <w:r>
        <w:rPr>
          <w:rStyle w:val="CharStyle11"/>
        </w:rPr>
        <w:t xml:space="preserve">ПП РФ </w:t>
      </w:r>
      <w:r>
        <w:rPr>
          <w:rStyle w:val="CharStyle11"/>
          <w:lang w:val="en-US" w:eastAsia="en-US"/>
        </w:rPr>
        <w:t xml:space="preserve">№ 769) </w:t>
      </w:r>
      <w:r>
        <w:rPr>
          <w:rStyle w:val="CharStyle11"/>
        </w:rPr>
        <w:t xml:space="preserve">в части обязательной сертификации ТР ЕАЭС </w:t>
      </w:r>
      <w:r>
        <w:rPr>
          <w:rStyle w:val="CharStyle11"/>
          <w:lang w:val="en-US" w:eastAsia="en-US"/>
        </w:rPr>
        <w:t xml:space="preserve">050/2021, </w:t>
      </w:r>
      <w:r>
        <w:rPr>
          <w:rStyle w:val="CharStyle11"/>
        </w:rPr>
        <w:t xml:space="preserve">а также акцентируется внимание на противоречии сирен </w:t>
      </w:r>
      <w:r>
        <w:rPr>
          <w:rStyle w:val="CharStyle11"/>
          <w:lang w:val="en-US" w:eastAsia="en-US"/>
        </w:rPr>
        <w:t xml:space="preserve">LK-2001, LK-М2 </w:t>
      </w:r>
      <w:r>
        <w:rPr>
          <w:rStyle w:val="CharStyle11"/>
        </w:rPr>
        <w:t xml:space="preserve">техническим требованиям, об отсутствии серийного производства блока управления БУС-МС </w:t>
      </w:r>
      <w:r>
        <w:rPr>
          <w:rStyle w:val="CharStyle11"/>
          <w:lang w:val="en-US" w:eastAsia="en-US"/>
        </w:rPr>
        <w:t xml:space="preserve">220 </w:t>
      </w:r>
      <w:r>
        <w:rPr>
          <w:rStyle w:val="CharStyle11"/>
        </w:rPr>
        <w:t>ГТИВ.46833.002-03.</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Заказчик, Уполномоченное учреждение с доводами, изложенными в жалобе Заявителя не согласны, просят признать жалобу необоснованной, поскольку весь товар является используемым в отношении которого не применяются меры, предусмотренные 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 xml:space="preserve">Закона о закупках. При этом выбор кода по ОКПД2 осуществляется самостоятельно со стороны Заказчика применимо к потребностям последнего, тем не менее сообщается, что код по ОКПД2 </w:t>
      </w:r>
      <w:r>
        <w:rPr>
          <w:rStyle w:val="CharStyle11"/>
          <w:lang w:val="en-US" w:eastAsia="en-US"/>
        </w:rPr>
        <w:t xml:space="preserve">26.30.50 </w:t>
      </w:r>
      <w:r>
        <w:rPr>
          <w:rStyle w:val="CharStyle11"/>
        </w:rPr>
        <w:t>«Устройства охранной или пожарной сигнализации, и аналогичная аппаратура» не соответствует объекту закупки, поскольку поставка систем оповещения условиями извещения не предусмотрена. Более того, описание объекта оспариваемой закупки было сформировано посредством проектирования со стороны члена союза проектировщиков, готовый проект которых (в том числе все работы, выполняемые на объектах, используемые материалы и т.д.) были согласованы Главным управлением МЧС России по Пермскому краю.</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 </w:t>
      </w:r>
      <w:r>
        <w:rPr>
          <w:rStyle w:val="CharStyle11"/>
          <w:lang w:val="en-US" w:eastAsia="en-US"/>
        </w:rPr>
        <w:t xml:space="preserve">1 </w:t>
      </w:r>
      <w:r>
        <w:rPr>
          <w:rStyle w:val="CharStyle11"/>
        </w:rPr>
        <w:t xml:space="preserve">ст. </w:t>
      </w:r>
      <w:r>
        <w:rPr>
          <w:rStyle w:val="CharStyle11"/>
          <w:lang w:val="en-US" w:eastAsia="en-US"/>
        </w:rPr>
        <w:t xml:space="preserve">14 </w:t>
      </w:r>
      <w:r>
        <w:rPr>
          <w:rStyle w:val="CharStyle11"/>
        </w:rPr>
        <w:t xml:space="preserve">Закона о закупках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 xml:space="preserve">российское лицо), за исключением случаев принятия Правительством Российской Федерации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w:t>
      </w:r>
    </w:p>
    <w:p>
      <w:pPr>
        <w:pStyle w:val="Style10"/>
        <w:keepNext w:val="0"/>
        <w:keepLines w:val="0"/>
        <w:widowControl w:val="0"/>
        <w:shd w:val="clear" w:color="auto" w:fill="auto"/>
        <w:bidi w:val="0"/>
        <w:spacing w:before="0" w:after="0" w:line="240" w:lineRule="auto"/>
        <w:ind w:left="0" w:right="0" w:firstLine="0"/>
        <w:jc w:val="both"/>
      </w:pPr>
      <w:r>
        <w:rPr>
          <w:rStyle w:val="CharStyle11"/>
        </w:rPr>
        <w:t>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подп. «б»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 xml:space="preserve">Закона о закупках Правительство Российской Федерации вправе с учетом положений части </w:t>
      </w:r>
      <w:r>
        <w:rPr>
          <w:rStyle w:val="CharStyle11"/>
          <w:lang w:val="en-US" w:eastAsia="en-US"/>
        </w:rPr>
        <w:t xml:space="preserve">3 </w:t>
      </w:r>
      <w:r>
        <w:rPr>
          <w:rStyle w:val="CharStyle11"/>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15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 xml:space="preserve">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1 </w:t>
      </w:r>
      <w:r>
        <w:rPr>
          <w:rStyle w:val="CharStyle11"/>
        </w:rPr>
        <w:t xml:space="preserve">постановления Правительства РФ от </w:t>
      </w:r>
      <w:r>
        <w:rPr>
          <w:rStyle w:val="CharStyle11"/>
          <w:lang w:val="en-US" w:eastAsia="en-US"/>
        </w:rPr>
        <w:t xml:space="preserve">23.12.2024 </w:t>
      </w:r>
      <w:r>
        <w:rPr>
          <w:rStyle w:val="CharStyle11"/>
        </w:rPr>
        <w:t xml:space="preserve">г. </w:t>
      </w:r>
      <w:r>
        <w:rPr>
          <w:rStyle w:val="CharStyle11"/>
          <w:lang w:val="en-US" w:eastAsia="en-US"/>
        </w:rPr>
        <w:t xml:space="preserve">№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ПП РФ </w:t>
      </w:r>
      <w:r>
        <w:rPr>
          <w:rStyle w:val="CharStyle11"/>
          <w:lang w:val="en-US" w:eastAsia="en-US"/>
        </w:rPr>
        <w:t xml:space="preserve">№ 1875) </w:t>
      </w:r>
      <w:r>
        <w:rPr>
          <w:rStyle w:val="CharStyle11"/>
        </w:rPr>
        <w:t xml:space="preserve">Правительство Российской Федерации постановило, что при осуществлении закупок в соответствии с Законом о закупках установлены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1"/>
          <w:lang w:val="en-US" w:eastAsia="en-US"/>
        </w:rPr>
        <w:t xml:space="preserve">N 2 </w:t>
      </w:r>
      <w:r>
        <w:rPr>
          <w:rStyle w:val="CharStyle11"/>
        </w:rPr>
        <w:t xml:space="preserve">(далее </w:t>
      </w:r>
      <w:r>
        <w:rPr>
          <w:rStyle w:val="CharStyle11"/>
          <w:lang w:val="en-US" w:eastAsia="en-US"/>
        </w:rPr>
        <w:t xml:space="preserve">– </w:t>
      </w:r>
      <w:r>
        <w:rPr>
          <w:rStyle w:val="CharStyle11"/>
        </w:rPr>
        <w:t xml:space="preserve">Перечень </w:t>
      </w:r>
      <w:r>
        <w:rPr>
          <w:rStyle w:val="CharStyle11"/>
          <w:lang w:val="en-US" w:eastAsia="en-US"/>
        </w:rPr>
        <w:t>№ 2).</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Необходимо отметить, что наименования товаров, работ, услуг в перечнях </w:t>
      </w:r>
      <w:r>
        <w:rPr>
          <w:rStyle w:val="CharStyle11"/>
          <w:lang w:val="en-US" w:eastAsia="en-US"/>
        </w:rPr>
        <w:t xml:space="preserve">№ 1 – № 3 </w:t>
      </w:r>
      <w:r>
        <w:rPr>
          <w:rStyle w:val="CharStyle11"/>
        </w:rPr>
        <w:t xml:space="preserve">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 Требования об использовании указанных наименований для целей описания объекта закупки (предмета закупки) ПП РФ </w:t>
      </w:r>
      <w:r>
        <w:rPr>
          <w:rStyle w:val="CharStyle11"/>
          <w:lang w:val="en-US" w:eastAsia="en-US"/>
        </w:rPr>
        <w:t xml:space="preserve">№ 1875 </w:t>
      </w:r>
      <w:r>
        <w:rPr>
          <w:rStyle w:val="CharStyle11"/>
        </w:rPr>
        <w:t xml:space="preserve">не установлены, в том числе поскольку указанный вопрос к предмету регулирования ПП РФ </w:t>
      </w:r>
      <w:r>
        <w:rPr>
          <w:rStyle w:val="CharStyle11"/>
          <w:lang w:val="en-US" w:eastAsia="en-US"/>
        </w:rPr>
        <w:t xml:space="preserve">№ 1875 </w:t>
      </w:r>
      <w:r>
        <w:rPr>
          <w:rStyle w:val="CharStyle11"/>
        </w:rPr>
        <w:t xml:space="preserve">не относится. В этой связи при применении ПП РФ </w:t>
      </w:r>
      <w:r>
        <w:rPr>
          <w:rStyle w:val="CharStyle11"/>
          <w:lang w:val="en-US" w:eastAsia="en-US"/>
        </w:rPr>
        <w:t xml:space="preserve">№ 1875 </w:t>
      </w:r>
      <w:r>
        <w:rPr>
          <w:rStyle w:val="CharStyle11"/>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перечнях </w:t>
      </w:r>
      <w:r>
        <w:rPr>
          <w:rStyle w:val="CharStyle11"/>
          <w:lang w:val="en-US" w:eastAsia="en-US"/>
        </w:rPr>
        <w:t>№ 1 - № 3.</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 положений структурированной формы извещения о проведении оспариваемой закупки установлено, что объектом является монтаж системы оповещения гражданской обороны по ОКПД2 </w:t>
      </w:r>
      <w:r>
        <w:rPr>
          <w:rStyle w:val="CharStyle11"/>
          <w:lang w:val="en-US" w:eastAsia="en-US"/>
        </w:rPr>
        <w:t xml:space="preserve">33.20.39.900 </w:t>
      </w:r>
      <w:r>
        <w:rPr>
          <w:rStyle w:val="CharStyle11"/>
        </w:rPr>
        <w:t xml:space="preserve">(идентификатор </w:t>
      </w:r>
      <w:r>
        <w:rPr>
          <w:rStyle w:val="CharStyle11"/>
          <w:lang w:val="en-US" w:eastAsia="en-US"/>
        </w:rPr>
        <w:t>212985383).</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Комиссия сообщает, что код по ОКПД2 определяется заказчиком самостоятельно путем соотнесения предмета закупки к соответствующему коду и наименованию позиции ОКПД </w:t>
      </w:r>
      <w:r>
        <w:rPr>
          <w:rStyle w:val="CharStyle11"/>
          <w:lang w:val="en-US" w:eastAsia="en-US"/>
        </w:rPr>
        <w:t xml:space="preserve">2 </w:t>
      </w:r>
      <w:r>
        <w:rPr>
          <w:rStyle w:val="CharStyle11"/>
        </w:rPr>
        <w:t xml:space="preserve">с учетом специфики закупки в области применения, при этом выбор кода ОКПД </w:t>
      </w:r>
      <w:r>
        <w:rPr>
          <w:rStyle w:val="CharStyle11"/>
          <w:lang w:val="en-US" w:eastAsia="en-US"/>
        </w:rPr>
        <w:t xml:space="preserve">2 </w:t>
      </w:r>
      <w:r>
        <w:rPr>
          <w:rStyle w:val="CharStyle11"/>
        </w:rPr>
        <w:t xml:space="preserve">не должен осуществляться с целью изменения способа определения поставщика (подрядчика, исполнителя) или иных неправомерных действий, которые могут возникнуть, в случае указания неверного кода (письмо ФАС России от </w:t>
      </w:r>
      <w:r>
        <w:rPr>
          <w:rStyle w:val="CharStyle11"/>
          <w:lang w:val="en-US" w:eastAsia="en-US"/>
        </w:rPr>
        <w:t xml:space="preserve">13.03.2019 </w:t>
      </w:r>
      <w:r>
        <w:rPr>
          <w:rStyle w:val="CharStyle11"/>
        </w:rPr>
        <w:t xml:space="preserve">г. </w:t>
      </w:r>
      <w:r>
        <w:rPr>
          <w:rStyle w:val="CharStyle11"/>
          <w:lang w:val="en-US" w:eastAsia="en-US"/>
        </w:rPr>
        <w:t xml:space="preserve">№ </w:t>
      </w:r>
      <w:r>
        <w:rPr>
          <w:rStyle w:val="CharStyle11"/>
        </w:rPr>
        <w:t>ИА/19176/19).</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 буквального толкования чч. </w:t>
      </w:r>
      <w:r>
        <w:rPr>
          <w:rStyle w:val="CharStyle11"/>
          <w:lang w:val="en-US" w:eastAsia="en-US"/>
        </w:rPr>
        <w:t xml:space="preserve">6-7 </w:t>
      </w:r>
      <w:r>
        <w:rPr>
          <w:rStyle w:val="CharStyle11"/>
        </w:rPr>
        <w:t xml:space="preserve">ст. </w:t>
      </w:r>
      <w:r>
        <w:rPr>
          <w:rStyle w:val="CharStyle11"/>
          <w:lang w:val="en-US" w:eastAsia="en-US"/>
        </w:rPr>
        <w:t xml:space="preserve">24 </w:t>
      </w:r>
      <w:r>
        <w:rPr>
          <w:rStyle w:val="CharStyle11"/>
        </w:rPr>
        <w:t xml:space="preserve">Закона о закупках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распоряжением Правительства РФ от </w:t>
      </w:r>
      <w:r>
        <w:rPr>
          <w:rStyle w:val="CharStyle11"/>
          <w:lang w:val="en-US" w:eastAsia="en-US"/>
        </w:rPr>
        <w:t xml:space="preserve">21.03.2016 </w:t>
      </w:r>
      <w:r>
        <w:rPr>
          <w:rStyle w:val="CharStyle11"/>
        </w:rPr>
        <w:t xml:space="preserve">г. </w:t>
      </w:r>
      <w:r>
        <w:rPr>
          <w:rStyle w:val="CharStyle11"/>
          <w:lang w:val="en-US" w:eastAsia="en-US"/>
        </w:rPr>
        <w:t xml:space="preserve">№ </w:t>
      </w:r>
      <w:r>
        <w:rPr>
          <w:rStyle w:val="CharStyle11"/>
        </w:rPr>
        <w:t>471-р, либо в дополнительный перечень,</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заказчик вправе осуществлять закупки товаров, работ, услуг, не включенных в перечни, предусмотренные частью </w:t>
      </w:r>
      <w:r>
        <w:rPr>
          <w:rStyle w:val="CharStyle11"/>
          <w:lang w:val="en-US" w:eastAsia="en-US"/>
        </w:rPr>
        <w:t xml:space="preserve">6 </w:t>
      </w:r>
      <w:r>
        <w:rPr>
          <w:rStyle w:val="CharStyle11"/>
        </w:rPr>
        <w:t>настоящей статьи, путем проведения аукционов.</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Установлено, что оспариваемая закупка на выполнение работ по монтажу системы оповещения гражданской обороны проводится посредством открытого аукциона в электронной форме, в связи чем выбор со стороны Заказчика, Уполномоченного учреждения кода ОКПД2 не был осуществлен с целью изменения способа определения поставщика (подрядчика, исполнителя) (в том числе с учетом требований распоряжения Правительства РФ от </w:t>
      </w:r>
      <w:r>
        <w:rPr>
          <w:rStyle w:val="CharStyle11"/>
          <w:lang w:val="en-US" w:eastAsia="en-US"/>
        </w:rPr>
        <w:t xml:space="preserve">21.03.2016 </w:t>
      </w:r>
      <w:r>
        <w:rPr>
          <w:rStyle w:val="CharStyle11"/>
        </w:rPr>
        <w:t xml:space="preserve">г. </w:t>
      </w:r>
      <w:r>
        <w:rPr>
          <w:rStyle w:val="CharStyle11"/>
          <w:lang w:val="en-US" w:eastAsia="en-US"/>
        </w:rPr>
        <w:t xml:space="preserve">№ </w:t>
      </w:r>
      <w:r>
        <w:rPr>
          <w:rStyle w:val="CharStyle11"/>
        </w:rPr>
        <w:t xml:space="preserve">471-р). Более того, в силу ч. </w:t>
      </w:r>
      <w:r>
        <w:rPr>
          <w:rStyle w:val="CharStyle11"/>
          <w:lang w:val="en-US" w:eastAsia="en-US"/>
        </w:rPr>
        <w:t xml:space="preserve">7 </w:t>
      </w:r>
      <w:r>
        <w:rPr>
          <w:rStyle w:val="CharStyle11"/>
        </w:rPr>
        <w:t xml:space="preserve">ст. </w:t>
      </w:r>
      <w:r>
        <w:rPr>
          <w:rStyle w:val="CharStyle11"/>
          <w:lang w:val="en-US" w:eastAsia="en-US"/>
        </w:rPr>
        <w:t xml:space="preserve">24 </w:t>
      </w:r>
      <w:r>
        <w:rPr>
          <w:rStyle w:val="CharStyle11"/>
        </w:rPr>
        <w:t xml:space="preserve">Закона о закупках заказчик вправе осуществлять закупки товаров, работ, услуг, не включенных в перечни, предусмотренные частью </w:t>
      </w:r>
      <w:r>
        <w:rPr>
          <w:rStyle w:val="CharStyle11"/>
          <w:lang w:val="en-US" w:eastAsia="en-US"/>
        </w:rPr>
        <w:t xml:space="preserve">6 </w:t>
      </w:r>
      <w:r>
        <w:rPr>
          <w:rStyle w:val="CharStyle11"/>
        </w:rPr>
        <w:t>настоящей статьи, путем проведения аукционов.</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в соответствии с подп. «д» п. </w:t>
      </w:r>
      <w:r>
        <w:rPr>
          <w:rStyle w:val="CharStyle11"/>
          <w:lang w:val="en-US" w:eastAsia="en-US"/>
        </w:rPr>
        <w:t xml:space="preserve">4 </w:t>
      </w:r>
      <w:r>
        <w:rPr>
          <w:rStyle w:val="CharStyle11"/>
        </w:rPr>
        <w:t xml:space="preserve">ПП РФ </w:t>
      </w:r>
      <w:r>
        <w:rPr>
          <w:rStyle w:val="CharStyle11"/>
          <w:lang w:val="en-US" w:eastAsia="en-US"/>
        </w:rPr>
        <w:t xml:space="preserve">№ 1875 </w:t>
      </w:r>
      <w:r>
        <w:rPr>
          <w:rStyle w:val="CharStyle11"/>
        </w:rPr>
        <w:t xml:space="preserve">позиции приложения </w:t>
      </w:r>
      <w:r>
        <w:rPr>
          <w:rStyle w:val="CharStyle11"/>
          <w:lang w:val="en-US" w:eastAsia="en-US"/>
        </w:rPr>
        <w:t xml:space="preserve">N 1 </w:t>
      </w:r>
      <w:r>
        <w:rPr>
          <w:rStyle w:val="CharStyle11"/>
        </w:rPr>
        <w:t xml:space="preserve">к настоящему постановлению и приложения </w:t>
      </w:r>
      <w:r>
        <w:rPr>
          <w:rStyle w:val="CharStyle11"/>
          <w:lang w:val="en-US" w:eastAsia="en-US"/>
        </w:rPr>
        <w:t xml:space="preserve">N 2 </w:t>
      </w:r>
      <w:r>
        <w:rPr>
          <w:rStyle w:val="CharStyle11"/>
        </w:rPr>
        <w:t xml:space="preserve">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Как было отмечено ранее, объектом оспариваемой закупки является монтаж системы оповещения гражданской обороны.</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тем из пункта </w:t>
      </w:r>
      <w:r>
        <w:rPr>
          <w:rStyle w:val="CharStyle11"/>
          <w:lang w:val="en-US" w:eastAsia="en-US"/>
        </w:rPr>
        <w:t xml:space="preserve">2.5 </w:t>
      </w:r>
      <w:r>
        <w:rPr>
          <w:rStyle w:val="CharStyle11"/>
        </w:rPr>
        <w:t xml:space="preserve">пояснительной записки (раздел </w:t>
      </w:r>
      <w:r>
        <w:rPr>
          <w:rStyle w:val="CharStyle11"/>
          <w:lang w:val="en-US" w:eastAsia="en-US"/>
        </w:rPr>
        <w:t xml:space="preserve">1) </w:t>
      </w:r>
      <w:r>
        <w:rPr>
          <w:rStyle w:val="CharStyle11"/>
        </w:rPr>
        <w:t xml:space="preserve">к рабочему проекту </w:t>
      </w:r>
      <w:r>
        <w:rPr>
          <w:rStyle w:val="CharStyle11"/>
          <w:lang w:val="en-US" w:eastAsia="en-US"/>
        </w:rPr>
        <w:t xml:space="preserve">№ 59056/25 </w:t>
      </w:r>
      <w:r>
        <w:rPr>
          <w:rStyle w:val="CharStyle11"/>
        </w:rPr>
        <w:t xml:space="preserve">(далее </w:t>
      </w:r>
      <w:r>
        <w:rPr>
          <w:rStyle w:val="CharStyle11"/>
          <w:lang w:val="en-US" w:eastAsia="en-US"/>
        </w:rPr>
        <w:t xml:space="preserve">– </w:t>
      </w:r>
      <w:r>
        <w:rPr>
          <w:rStyle w:val="CharStyle11"/>
        </w:rPr>
        <w:t xml:space="preserve">Проект) также установлено, что в качестве оконечных средств речевого оповещения используются электромеханические сирены </w:t>
      </w:r>
      <w:r>
        <w:rPr>
          <w:rStyle w:val="CharStyle11"/>
          <w:lang w:val="en-US" w:eastAsia="en-US"/>
        </w:rPr>
        <w:t xml:space="preserve">LK-2001 </w:t>
      </w:r>
      <w:r>
        <w:rPr>
          <w:rStyle w:val="CharStyle11"/>
        </w:rPr>
        <w:t xml:space="preserve">и </w:t>
      </w:r>
      <w:r>
        <w:rPr>
          <w:rStyle w:val="CharStyle11"/>
          <w:lang w:val="en-US" w:eastAsia="en-US"/>
        </w:rPr>
        <w:t xml:space="preserve">LK-M2, </w:t>
      </w:r>
      <w:r>
        <w:rPr>
          <w:rStyle w:val="CharStyle11"/>
        </w:rPr>
        <w:t>подключаемые к блокам управления электромеханической сиреной БУС-МС220. Блоки БУС-МС220 являются пуско-коммутационным оборудованием, т.е. содержащим в своем составе, как пусковое, так и управляющее оборудование, собранное в единый блок. Варианты исполнения узлов оповещения приведены в технических решениях 59056/25-МСОН1.</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Исходя из буквального толкования 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Закона о закупках меры, предусмотренные настоящей частью применяются в отношении закупаемого товара (в том числе поставляемого при выполнении закупаемых работ, оказании закупаемых услуг), при этом такие меры распространяются на товар, который в совокупности: фактически передается поставщиком (подрядчиком, исполнителем) заказчику, принимается и оплачивается заказчиком; является неделимой вещью (вещь, раздел которой в натуре невозможен без разрушения, повреждения вещи или изменения ее назначения и которая выступает в обороте как единый объект вещных прав, является неделимой вещью и в том случае, если она имеет составные части).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Кроме того, экономический субъект по общему правилу осуществляет ведение бухгалтерского учета в соответствии с Федеральным законом от </w:t>
      </w:r>
      <w:r>
        <w:rPr>
          <w:rStyle w:val="CharStyle11"/>
          <w:lang w:val="en-US" w:eastAsia="en-US"/>
        </w:rPr>
        <w:t xml:space="preserve">6 </w:t>
      </w:r>
      <w:r>
        <w:rPr>
          <w:rStyle w:val="CharStyle11"/>
        </w:rPr>
        <w:t xml:space="preserve">декабря </w:t>
      </w:r>
      <w:r>
        <w:rPr>
          <w:rStyle w:val="CharStyle11"/>
          <w:lang w:val="en-US" w:eastAsia="en-US"/>
        </w:rPr>
        <w:t xml:space="preserve">2011 </w:t>
      </w:r>
      <w:r>
        <w:rPr>
          <w:rStyle w:val="CharStyle11"/>
        </w:rPr>
        <w:t xml:space="preserve">г. </w:t>
      </w:r>
      <w:r>
        <w:rPr>
          <w:rStyle w:val="CharStyle11"/>
          <w:lang w:val="en-US" w:eastAsia="en-US"/>
        </w:rPr>
        <w:t xml:space="preserve">N </w:t>
      </w:r>
      <w:r>
        <w:rPr>
          <w:rStyle w:val="CharStyle11"/>
        </w:rPr>
        <w:t xml:space="preserve">402-ФЗ «О бухгалтерском учете», которым установлено, что каждый факт хозяйственной жизни, к которому относится сделка, событие, операция, которые оказывают или способны оказать влияние на финансовое положение экономического субъекта, финансовый результат его деятельности и (или) движение денежных средств, подлежит оформлению первичным учетным документом (пункт </w:t>
      </w:r>
      <w:r>
        <w:rPr>
          <w:rStyle w:val="CharStyle11"/>
          <w:lang w:val="en-US" w:eastAsia="en-US"/>
        </w:rPr>
        <w:t xml:space="preserve">8 </w:t>
      </w:r>
      <w:r>
        <w:rPr>
          <w:rStyle w:val="CharStyle11"/>
        </w:rPr>
        <w:t xml:space="preserve">статьи </w:t>
      </w:r>
      <w:r>
        <w:rPr>
          <w:rStyle w:val="CharStyle11"/>
          <w:lang w:val="en-US" w:eastAsia="en-US"/>
        </w:rPr>
        <w:t xml:space="preserve">3, </w:t>
      </w:r>
      <w:r>
        <w:rPr>
          <w:rStyle w:val="CharStyle11"/>
        </w:rPr>
        <w:t xml:space="preserve">часть </w:t>
      </w:r>
      <w:r>
        <w:rPr>
          <w:rStyle w:val="CharStyle11"/>
          <w:lang w:val="en-US" w:eastAsia="en-US"/>
        </w:rPr>
        <w:t xml:space="preserve">1 </w:t>
      </w:r>
      <w:r>
        <w:rPr>
          <w:rStyle w:val="CharStyle11"/>
        </w:rPr>
        <w:t xml:space="preserve">статьи </w:t>
      </w:r>
      <w:r>
        <w:rPr>
          <w:rStyle w:val="CharStyle11"/>
          <w:lang w:val="en-US" w:eastAsia="en-US"/>
        </w:rPr>
        <w:t xml:space="preserve">6, </w:t>
      </w:r>
      <w:r>
        <w:rPr>
          <w:rStyle w:val="CharStyle11"/>
        </w:rPr>
        <w:t xml:space="preserve">часть </w:t>
      </w:r>
      <w:r>
        <w:rPr>
          <w:rStyle w:val="CharStyle11"/>
          <w:lang w:val="en-US" w:eastAsia="en-US"/>
        </w:rPr>
        <w:t xml:space="preserve">1 </w:t>
      </w:r>
      <w:r>
        <w:rPr>
          <w:rStyle w:val="CharStyle11"/>
        </w:rPr>
        <w:t xml:space="preserve">статьи </w:t>
      </w:r>
      <w:r>
        <w:rPr>
          <w:rStyle w:val="CharStyle11"/>
          <w:lang w:val="en-US" w:eastAsia="en-US"/>
        </w:rPr>
        <w:t xml:space="preserve">9 </w:t>
      </w:r>
      <w:r>
        <w:rPr>
          <w:rStyle w:val="CharStyle11"/>
        </w:rPr>
        <w:t>указанного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этой связи предусмотренное ПП РФ </w:t>
      </w:r>
      <w:r>
        <w:rPr>
          <w:rStyle w:val="CharStyle11"/>
          <w:lang w:val="en-US" w:eastAsia="en-US"/>
        </w:rPr>
        <w:t xml:space="preserve">№ 1875 </w:t>
      </w:r>
      <w:r>
        <w:rPr>
          <w:rStyle w:val="CharStyle11"/>
        </w:rPr>
        <w:t>понятие поставляемого товара по общему правилу охватывает товар, который соответствует вышеуказанной совокупности признаков и</w:t>
      </w:r>
    </w:p>
    <w:p>
      <w:pPr>
        <w:pStyle w:val="Style10"/>
        <w:keepNext w:val="0"/>
        <w:keepLines w:val="0"/>
        <w:widowControl w:val="0"/>
        <w:shd w:val="clear" w:color="auto" w:fill="auto"/>
        <w:bidi w:val="0"/>
        <w:spacing w:before="0" w:after="0" w:line="240" w:lineRule="auto"/>
        <w:ind w:left="0" w:right="0" w:firstLine="0"/>
        <w:jc w:val="both"/>
      </w:pPr>
      <w:r>
        <w:rPr>
          <w:rStyle w:val="CharStyle11"/>
        </w:rPr>
        <w:t>передается заказчику на основании документа о приемке, являющегося первичным учетным документом.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тем, если в рамках исполнения контракта (договора) поставщиком (подрядчиком, исполнителем) осуществляется фактическая передача заказчику товара, то, несмотря на отсутствие в документе о приемке непосредственного указания вышеуказанного товара (в том числе вследствие несоблюдения установленных правил в сфере бухгалтерского учета), при осуществлении закупки в отношении такого товара применяются соответствующие предусмотренные ПП РФ </w:t>
      </w:r>
      <w:r>
        <w:rPr>
          <w:rStyle w:val="CharStyle11"/>
          <w:lang w:val="en-US" w:eastAsia="en-US"/>
        </w:rPr>
        <w:t xml:space="preserve">№ 1875 </w:t>
      </w:r>
      <w:r>
        <w:rPr>
          <w:rStyle w:val="CharStyle11"/>
        </w:rPr>
        <w:t>меры. При этом необходимо учитывать особенности передачи, принятия товара, его отражения в соответствующих документах, предусмотренные отраслевым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частности, при закупках в сфере градостроительной деятельности с учетом положений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являющегося приложением </w:t>
      </w:r>
      <w:r>
        <w:rPr>
          <w:rStyle w:val="CharStyle11"/>
          <w:lang w:val="en-US" w:eastAsia="en-US"/>
        </w:rPr>
        <w:t xml:space="preserve">N 1 </w:t>
      </w:r>
      <w:r>
        <w:rPr>
          <w:rStyle w:val="CharStyle11"/>
        </w:rPr>
        <w:t xml:space="preserve">к приказу Минстроя России от </w:t>
      </w:r>
      <w:r>
        <w:rPr>
          <w:rStyle w:val="CharStyle11"/>
          <w:lang w:val="en-US" w:eastAsia="en-US"/>
        </w:rPr>
        <w:t xml:space="preserve">23 </w:t>
      </w:r>
      <w:r>
        <w:rPr>
          <w:rStyle w:val="CharStyle11"/>
        </w:rPr>
        <w:t xml:space="preserve">декабря </w:t>
      </w:r>
      <w:r>
        <w:rPr>
          <w:rStyle w:val="CharStyle11"/>
          <w:lang w:val="en-US" w:eastAsia="en-US"/>
        </w:rPr>
        <w:t xml:space="preserve">2019 </w:t>
      </w:r>
      <w:r>
        <w:rPr>
          <w:rStyle w:val="CharStyle11"/>
        </w:rPr>
        <w:t xml:space="preserve">г. </w:t>
      </w:r>
      <w:r>
        <w:rPr>
          <w:rStyle w:val="CharStyle11"/>
          <w:lang w:val="en-US" w:eastAsia="en-US"/>
        </w:rPr>
        <w:t xml:space="preserve">N </w:t>
      </w:r>
      <w:r>
        <w:rPr>
          <w:rStyle w:val="CharStyle11"/>
        </w:rPr>
        <w:t xml:space="preserve">841/пр, и позиции, изложенной в письме Минстроя России от </w:t>
      </w:r>
      <w:r>
        <w:rPr>
          <w:rStyle w:val="CharStyle11"/>
          <w:lang w:val="en-US" w:eastAsia="en-US"/>
        </w:rPr>
        <w:t xml:space="preserve">30 </w:t>
      </w:r>
      <w:r>
        <w:rPr>
          <w:rStyle w:val="CharStyle11"/>
        </w:rPr>
        <w:t xml:space="preserve">декабря </w:t>
      </w:r>
      <w:r>
        <w:rPr>
          <w:rStyle w:val="CharStyle11"/>
          <w:lang w:val="en-US" w:eastAsia="en-US"/>
        </w:rPr>
        <w:t xml:space="preserve">2021 </w:t>
      </w:r>
      <w:r>
        <w:rPr>
          <w:rStyle w:val="CharStyle11"/>
        </w:rPr>
        <w:t xml:space="preserve">г. </w:t>
      </w:r>
      <w:r>
        <w:rPr>
          <w:rStyle w:val="CharStyle11"/>
          <w:lang w:val="en-US" w:eastAsia="en-US"/>
        </w:rPr>
        <w:t xml:space="preserve">N </w:t>
      </w:r>
      <w:r>
        <w:rPr>
          <w:rStyle w:val="CharStyle11"/>
        </w:rPr>
        <w:t xml:space="preserve">58202-СМ/09, понятие поставляемого товара охватывает товар, который соответствует указанной в пункте </w:t>
      </w:r>
      <w:r>
        <w:rPr>
          <w:rStyle w:val="CharStyle11"/>
          <w:lang w:val="en-US" w:eastAsia="en-US"/>
        </w:rPr>
        <w:t xml:space="preserve">1 </w:t>
      </w:r>
      <w:r>
        <w:rPr>
          <w:rStyle w:val="CharStyle11"/>
        </w:rPr>
        <w:t xml:space="preserve">настоящего письма совокупности и при этом является учтенным в соответствии с положениями подпункта "б" пункта </w:t>
      </w:r>
      <w:r>
        <w:rPr>
          <w:rStyle w:val="CharStyle11"/>
          <w:lang w:val="en-US" w:eastAsia="en-US"/>
        </w:rPr>
        <w:t xml:space="preserve">31 </w:t>
      </w:r>
      <w:r>
        <w:rPr>
          <w:rStyle w:val="CharStyle11"/>
        </w:rPr>
        <w:t>вышеуказанного порядка оборудованием (оборудование, мебель, инвентарь).</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Товар без указанной совокупности термином поставляемый товар не охватывается, соответственно, к такому товару предусмотренные ПП РФ </w:t>
      </w:r>
      <w:r>
        <w:rPr>
          <w:rStyle w:val="CharStyle11"/>
          <w:lang w:val="en-US" w:eastAsia="en-US"/>
        </w:rPr>
        <w:t xml:space="preserve">№ 1875 </w:t>
      </w:r>
      <w:r>
        <w:rPr>
          <w:rStyle w:val="CharStyle11"/>
        </w:rPr>
        <w:t>меры не применяются, в частности к: товару, который используется поставщиком (подрядчиком, исполнителем) при выполнении закупаемых работ, оказании закупаемых услуг и заказчику по результатам исполнения контракта (договора) не передается, например, экскаватор, используемый при выполнении закупаемых работ по строительству, или самолет, используемый при оказании закупаемых услуг воздушного транспорта; товару, потребляемому при выполнении закупаемых работ, оказании закупаемых услуг, например, природные (песок), искусственные (кирпич), вяжущие (цемент) строительные материалы при выполнении работ по строительству или расходные материалы, дезинфицирующие средства при оказании услуг по уборке.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письмом МКУ «ЦБУ» </w:t>
      </w:r>
      <w:r>
        <w:rPr>
          <w:rStyle w:val="CharStyle11"/>
          <w:lang w:val="en-US" w:eastAsia="en-US"/>
        </w:rPr>
        <w:t xml:space="preserve">№ 059-06/01-01-21-5 </w:t>
      </w:r>
      <w:r>
        <w:rPr>
          <w:rStyle w:val="CharStyle11"/>
        </w:rPr>
        <w:t xml:space="preserve">на основании пп. </w:t>
      </w:r>
      <w:r>
        <w:rPr>
          <w:rStyle w:val="CharStyle11"/>
          <w:lang w:val="en-US" w:eastAsia="en-US"/>
        </w:rPr>
        <w:t xml:space="preserve">40.1, 44, 64.71 </w:t>
      </w:r>
      <w:r>
        <w:rPr>
          <w:rStyle w:val="CharStyle11"/>
        </w:rPr>
        <w:t xml:space="preserve">Методических указаний (утв. приказом Минфина России от </w:t>
      </w:r>
      <w:r>
        <w:rPr>
          <w:rStyle w:val="CharStyle11"/>
          <w:lang w:val="en-US" w:eastAsia="en-US"/>
        </w:rPr>
        <w:t xml:space="preserve">15.04.2021 </w:t>
      </w:r>
      <w:r>
        <w:rPr>
          <w:rStyle w:val="CharStyle11"/>
        </w:rPr>
        <w:t xml:space="preserve">г. </w:t>
      </w:r>
      <w:r>
        <w:rPr>
          <w:rStyle w:val="CharStyle11"/>
          <w:lang w:val="en-US" w:eastAsia="en-US"/>
        </w:rPr>
        <w:t xml:space="preserve">№ </w:t>
      </w:r>
      <w:r>
        <w:rPr>
          <w:rStyle w:val="CharStyle11"/>
        </w:rPr>
        <w:t xml:space="preserve">61н) к бухгалтерскому учету материальные ценности принимаются на основании решения комиссии по поступлению и выбытию активов учреждения (далее по абзацу </w:t>
      </w:r>
      <w:r>
        <w:rPr>
          <w:rStyle w:val="CharStyle11"/>
          <w:lang w:val="en-US" w:eastAsia="en-US"/>
        </w:rPr>
        <w:t xml:space="preserve">- </w:t>
      </w:r>
      <w:r>
        <w:rPr>
          <w:rStyle w:val="CharStyle11"/>
        </w:rPr>
        <w:t xml:space="preserve">Комиссия). Комиссия обязана составлять ряд первичных учетных документов, которыми оформляются принимаемые ею решения, например: решение о признании основных средств, нематериальных, непроизведенных и биологических активов, а также материальных запасов, для которых устанавливается срок эксплуатации, оформляется решением о признании объектов нефинансовых активов (ф. </w:t>
      </w:r>
      <w:r>
        <w:rPr>
          <w:rStyle w:val="CharStyle11"/>
          <w:lang w:val="en-US" w:eastAsia="en-US"/>
        </w:rPr>
        <w:t>0510441).</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пункта </w:t>
      </w:r>
      <w:r>
        <w:rPr>
          <w:rStyle w:val="CharStyle11"/>
          <w:lang w:val="en-US" w:eastAsia="en-US"/>
        </w:rPr>
        <w:t xml:space="preserve">10 </w:t>
      </w:r>
      <w:r>
        <w:rPr>
          <w:rStyle w:val="CharStyle11"/>
        </w:rPr>
        <w:t xml:space="preserve">приказа Минфина России от </w:t>
      </w:r>
      <w:r>
        <w:rPr>
          <w:rStyle w:val="CharStyle11"/>
          <w:lang w:val="en-US" w:eastAsia="en-US"/>
        </w:rPr>
        <w:t xml:space="preserve">31.12.2016 № </w:t>
      </w:r>
      <w:r>
        <w:rPr>
          <w:rStyle w:val="CharStyle11"/>
        </w:rPr>
        <w:t xml:space="preserve">257н «Об утверждении федерального стандарта бухгалтерского учета для организаций государственного сектора «Основные средства»: при признании объекта основных средств субъектом учета определяется состав инвентарного объекта с учетом положений настоящего Стандарта. Объектом основных средств признается объект имущества со всеми приспособлениями и принадлежностями или отдельный конструктивно обособленный предмет, предназначенный для выполнения определенных самостоятельных функций, или же обособленный комплекс конструктивно- сочлененных предметов, представляющих собой единое целое и предназначенных для выполнения определенной работы. Комплекс конструктивно-сочлененных предметов </w:t>
      </w:r>
      <w:r>
        <w:rPr>
          <w:rStyle w:val="CharStyle11"/>
          <w:lang w:val="en-US" w:eastAsia="en-US"/>
        </w:rPr>
        <w:t xml:space="preserve">- </w:t>
      </w:r>
      <w:r>
        <w:rPr>
          <w:rStyle w:val="CharStyle11"/>
        </w:rPr>
        <w:t>это один или несколько предметов одного или разного назначения, имеющих общие приспособления и принадлежности, общее управление, смонтированных в единый комплекс (на одном фундаменте), в результате чего каждый входящий в комплекс предмет может выполнять свои функции только в составе комплекса, а не самостоятельно.</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в соответствии с разделом </w:t>
      </w:r>
      <w:r>
        <w:rPr>
          <w:rStyle w:val="CharStyle11"/>
          <w:lang w:val="en-US" w:eastAsia="en-US"/>
        </w:rPr>
        <w:t xml:space="preserve">4 </w:t>
      </w:r>
      <w:r>
        <w:rPr>
          <w:rStyle w:val="CharStyle11"/>
        </w:rPr>
        <w:t>Методических указаний по применению</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федерального стандарта бухгалтерского учета для организаций государственного сектора «Основные средства», утв. приказом Минфина России от </w:t>
      </w:r>
      <w:r>
        <w:rPr>
          <w:rStyle w:val="CharStyle11"/>
          <w:lang w:val="en-US" w:eastAsia="en-US"/>
        </w:rPr>
        <w:t xml:space="preserve">31.12.2016 N </w:t>
      </w:r>
      <w:r>
        <w:rPr>
          <w:rStyle w:val="CharStyle11"/>
        </w:rPr>
        <w:t xml:space="preserve">257н (письмо Минфина России от </w:t>
      </w:r>
      <w:r>
        <w:rPr>
          <w:rStyle w:val="CharStyle11"/>
          <w:lang w:val="en-US" w:eastAsia="en-US"/>
        </w:rPr>
        <w:t xml:space="preserve">15.12.2017 N 02-07-07/84237) </w:t>
      </w:r>
      <w:r>
        <w:rPr>
          <w:rStyle w:val="CharStyle11"/>
        </w:rPr>
        <w:t xml:space="preserve">на основании пункта </w:t>
      </w:r>
      <w:r>
        <w:rPr>
          <w:rStyle w:val="CharStyle11"/>
          <w:lang w:val="en-US" w:eastAsia="en-US"/>
        </w:rPr>
        <w:t xml:space="preserve">9 </w:t>
      </w:r>
      <w:r>
        <w:rPr>
          <w:rStyle w:val="CharStyle11"/>
        </w:rPr>
        <w:t xml:space="preserve">СГС "Основные средства" единицей учета основных средств является инвентарный объект. Часть объекта имущества, в отношении которой самостоятельно возможно определить период поступления будущих экономических выгод, полезного потенциала, либо часть имущества, имеющая отличный от остальных частей срок полезного использования (способ получения будущих экономических выгод или полезного потенциала), и стоимость которой составляет значительную величину от общей стоимости объекта имущества (далее </w:t>
      </w:r>
      <w:r>
        <w:rPr>
          <w:rStyle w:val="CharStyle11"/>
          <w:lang w:val="en-US" w:eastAsia="en-US"/>
        </w:rPr>
        <w:t xml:space="preserve">- </w:t>
      </w:r>
      <w:r>
        <w:rPr>
          <w:rStyle w:val="CharStyle11"/>
        </w:rPr>
        <w:t>структурная часть объекта основных средств) может признаваться самостоятельной единицей учета основных средств. При этом такая единица учета основных средств определяется вне зависимости от возможного физического обособления части объекта имущества.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10 </w:t>
      </w:r>
      <w:r>
        <w:rPr>
          <w:rStyle w:val="CharStyle11"/>
        </w:rPr>
        <w:t xml:space="preserve">СГС "Основные средства" объекты основных средств, срок полезного использования которых одинаков, стоимость которых не является существенной (например, библиотечные фонды, периферийные устройства и компьютерное оборудование, мебель, используемая в течение одного и того же периода времени (столы, стулья, шкафы, иная мебель, используемая для обстановки одного помещения), могут в соответствии с принятыми положениями учетной политики объединяться субъектом учета в один инвентарный объект, признаваемый для целей бухгалтерского учета комплексом объектов основных средств. При этом субъект учета самостоятельно в рамках своей учетной политики определяет состав такого инвентарного объекта с учетом положений СГС "Основные средства" и существенности информации, раскрываемой в бухгалтерской (финансовой) отчетности. С целью объединения основных средств в один инвентарный объект (комплекс объектов основных средств) субъект учета вправе в рамках учетной политики определить, что критериями отнесения стоимости объектов основных средств к несущественной стоимости являются критерии, установленные СГС "Основные средства" для начисления </w:t>
      </w:r>
      <w:r>
        <w:rPr>
          <w:rStyle w:val="CharStyle11"/>
          <w:lang w:val="en-US" w:eastAsia="en-US"/>
        </w:rPr>
        <w:t xml:space="preserve">100% </w:t>
      </w:r>
      <w:r>
        <w:rPr>
          <w:rStyle w:val="CharStyle11"/>
        </w:rPr>
        <w:t>амортизации при вводе в эксплуатацию.</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Установлено, что в рамках исполнения контракта на развитие муниципальной системы оповещения населения города Перми на основании сметы Проекта осуществляется поставка следующих комплектующих элементов (товаров): «микрофон </w:t>
      </w:r>
      <w:r>
        <w:rPr>
          <w:rStyle w:val="CharStyle11"/>
          <w:lang w:val="en-US" w:eastAsia="en-US"/>
        </w:rPr>
        <w:t xml:space="preserve">Tantos TSo-RM-01»; </w:t>
      </w:r>
      <w:r>
        <w:rPr>
          <w:rStyle w:val="CharStyle11"/>
        </w:rPr>
        <w:t xml:space="preserve">«сирена </w:t>
      </w:r>
      <w:r>
        <w:rPr>
          <w:rStyle w:val="CharStyle11"/>
          <w:lang w:val="en-US" w:eastAsia="en-US"/>
        </w:rPr>
        <w:t xml:space="preserve">LK- 2001»; </w:t>
      </w:r>
      <w:r>
        <w:rPr>
          <w:rStyle w:val="CharStyle11"/>
        </w:rPr>
        <w:t xml:space="preserve">«сирена </w:t>
      </w:r>
      <w:r>
        <w:rPr>
          <w:rStyle w:val="CharStyle11"/>
          <w:lang w:val="en-US" w:eastAsia="en-US"/>
        </w:rPr>
        <w:t xml:space="preserve">LK-M2», </w:t>
      </w:r>
      <w:r>
        <w:rPr>
          <w:rStyle w:val="CharStyle11"/>
        </w:rPr>
        <w:t xml:space="preserve">«блок управления БУС-МС </w:t>
      </w:r>
      <w:r>
        <w:rPr>
          <w:rStyle w:val="CharStyle11"/>
          <w:lang w:val="en-US" w:eastAsia="en-US"/>
        </w:rPr>
        <w:t xml:space="preserve">220 </w:t>
      </w:r>
      <w:r>
        <w:rPr>
          <w:rStyle w:val="CharStyle11"/>
        </w:rPr>
        <w:t>ГТИВ.46833.002-03» (перечень не является исчерпывающим).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отношении вышеуказанных товаров </w:t>
      </w:r>
      <w:r>
        <w:rPr>
          <w:rStyle w:val="CharStyle11"/>
          <w:lang w:val="en-US" w:eastAsia="en-US"/>
        </w:rPr>
        <w:t xml:space="preserve">– </w:t>
      </w:r>
      <w:r>
        <w:rPr>
          <w:rStyle w:val="CharStyle11"/>
        </w:rPr>
        <w:t>составных частей системы самостоятельно возможно определить период поступления будущих экономических выгод, полезного потенциала, при этом такие товары имеют отличный от остальных частей системы оповещения срок полезного использования (способ получения будущих экономических выгод или полезного потенциала), в связи с чем Комиссия приходит к выводу, что такой товар признается самостоятельной единицей учета основных средств и подлежит к бухгалтерскому учету.</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 учетом совокупного толкования вышеизложенных норм, в том числе признаков поставляемого товара, Комиссия приходит к выводу, что часть оборудования, предусмотренная Проектом, является поставляемым товаром в отношении которого распространяются требования ст. </w:t>
      </w:r>
      <w:r>
        <w:rPr>
          <w:rStyle w:val="CharStyle11"/>
          <w:lang w:val="en-US" w:eastAsia="en-US"/>
        </w:rPr>
        <w:t xml:space="preserve">14 </w:t>
      </w:r>
      <w:r>
        <w:rPr>
          <w:rStyle w:val="CharStyle11"/>
        </w:rPr>
        <w:t xml:space="preserve">Закона о закупках, ПП РФ </w:t>
      </w:r>
      <w:r>
        <w:rPr>
          <w:rStyle w:val="CharStyle11"/>
          <w:lang w:val="en-US" w:eastAsia="en-US"/>
        </w:rPr>
        <w:t xml:space="preserve">№ 1875. </w:t>
      </w:r>
      <w:r>
        <w:rPr>
          <w:rStyle w:val="CharStyle11"/>
        </w:rPr>
        <w:t xml:space="preserve">(например, «микрофон </w:t>
      </w:r>
      <w:r>
        <w:rPr>
          <w:rStyle w:val="CharStyle11"/>
          <w:lang w:val="en-US" w:eastAsia="en-US"/>
        </w:rPr>
        <w:t xml:space="preserve">Tantos TSo-RM-01» </w:t>
      </w:r>
      <w:r>
        <w:rPr>
          <w:rStyle w:val="CharStyle11"/>
        </w:rPr>
        <w:t xml:space="preserve">в соответствии с подп. «б»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 xml:space="preserve">Закона о закупках, поз. </w:t>
      </w:r>
      <w:r>
        <w:rPr>
          <w:rStyle w:val="CharStyle11"/>
          <w:lang w:val="en-US" w:eastAsia="en-US"/>
        </w:rPr>
        <w:t xml:space="preserve">241 </w:t>
      </w:r>
      <w:r>
        <w:rPr>
          <w:rStyle w:val="CharStyle11"/>
        </w:rPr>
        <w:t xml:space="preserve">Приложения </w:t>
      </w:r>
      <w:r>
        <w:rPr>
          <w:rStyle w:val="CharStyle11"/>
          <w:lang w:val="en-US" w:eastAsia="en-US"/>
        </w:rPr>
        <w:t xml:space="preserve">№ 2 </w:t>
      </w:r>
      <w:r>
        <w:rPr>
          <w:rStyle w:val="CharStyle11"/>
        </w:rPr>
        <w:t xml:space="preserve">к ПП РФ </w:t>
      </w:r>
      <w:r>
        <w:rPr>
          <w:rStyle w:val="CharStyle11"/>
          <w:lang w:val="en-US" w:eastAsia="en-US"/>
        </w:rPr>
        <w:t xml:space="preserve">№ 2571 </w:t>
      </w:r>
      <w:r>
        <w:rPr>
          <w:rStyle w:val="CharStyle11"/>
        </w:rPr>
        <w:t>и т.д.).</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в нарушение требований п. </w:t>
      </w:r>
      <w:r>
        <w:rPr>
          <w:rStyle w:val="CharStyle11"/>
          <w:lang w:val="en-US" w:eastAsia="en-US"/>
        </w:rPr>
        <w:t xml:space="preserve">15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Закона о закупках в отношении вышеуказанных единиц со стороны Заказчика, Уполномоченного учреждения в структурированной форме извещения о проведении оспариваемой закупке не указано о применении соответствующих мер национального режима.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Дополнительно в части доводов о недопустимости применения сирены модели </w:t>
      </w:r>
      <w:r>
        <w:rPr>
          <w:rStyle w:val="CharStyle11"/>
          <w:lang w:val="en-US" w:eastAsia="en-US"/>
        </w:rPr>
        <w:t xml:space="preserve">LK-M2 </w:t>
      </w:r>
      <w:r>
        <w:rPr>
          <w:rStyle w:val="CharStyle11"/>
        </w:rPr>
        <w:t xml:space="preserve">исходя из требований ПП РФ </w:t>
      </w:r>
      <w:r>
        <w:rPr>
          <w:rStyle w:val="CharStyle11"/>
          <w:lang w:val="en-US" w:eastAsia="en-US"/>
        </w:rPr>
        <w:t xml:space="preserve">№ 769 </w:t>
      </w:r>
      <w:r>
        <w:rPr>
          <w:rStyle w:val="CharStyle11"/>
        </w:rPr>
        <w:t xml:space="preserve">в части обязательной сертификации ТР ЕАЭС </w:t>
      </w:r>
      <w:r>
        <w:rPr>
          <w:rStyle w:val="CharStyle11"/>
          <w:lang w:val="en-US" w:eastAsia="en-US"/>
        </w:rPr>
        <w:t xml:space="preserve">050/2021, </w:t>
      </w:r>
      <w:r>
        <w:rPr>
          <w:rStyle w:val="CharStyle11"/>
        </w:rPr>
        <w:t xml:space="preserve">а также противоречии сирен </w:t>
      </w:r>
      <w:r>
        <w:rPr>
          <w:rStyle w:val="CharStyle11"/>
          <w:lang w:val="en-US" w:eastAsia="en-US"/>
        </w:rPr>
        <w:t xml:space="preserve">LK-2001, LK-М2 </w:t>
      </w:r>
      <w:r>
        <w:rPr>
          <w:rStyle w:val="CharStyle11"/>
        </w:rPr>
        <w:t xml:space="preserve">техническим требованиям, об отсутствии серийного производства блока управления БУС-МС </w:t>
      </w:r>
      <w:r>
        <w:rPr>
          <w:rStyle w:val="CharStyle11"/>
          <w:lang w:val="en-US" w:eastAsia="en-US"/>
        </w:rPr>
        <w:t xml:space="preserve">220 </w:t>
      </w:r>
      <w:r>
        <w:rPr>
          <w:rStyle w:val="CharStyle11"/>
        </w:rPr>
        <w:t>ГТИВ.46833.002-03 необходимо сообщить следующее.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 </w:t>
      </w:r>
      <w:r>
        <w:rPr>
          <w:rStyle w:val="CharStyle11"/>
          <w:lang w:val="en-US" w:eastAsia="en-US"/>
        </w:rPr>
        <w:t xml:space="preserve">2 </w:t>
      </w:r>
      <w:r>
        <w:rPr>
          <w:rStyle w:val="CharStyle11"/>
        </w:rPr>
        <w:t xml:space="preserve">ст. </w:t>
      </w:r>
      <w:r>
        <w:rPr>
          <w:rStyle w:val="CharStyle11"/>
          <w:lang w:val="en-US" w:eastAsia="en-US"/>
        </w:rPr>
        <w:t xml:space="preserve">8 </w:t>
      </w:r>
      <w:r>
        <w:rPr>
          <w:rStyle w:val="CharStyle11"/>
        </w:rPr>
        <w:t>Закона о закупках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 xml:space="preserve">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в том числе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42 </w:t>
      </w:r>
      <w:r>
        <w:rPr>
          <w:rStyle w:val="CharStyle11"/>
        </w:rPr>
        <w:t xml:space="preserve">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1"/>
          <w:lang w:val="en-US" w:eastAsia="en-US"/>
        </w:rPr>
        <w:t xml:space="preserve">33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пп. </w:t>
      </w:r>
      <w:r>
        <w:rPr>
          <w:rStyle w:val="CharStyle11"/>
          <w:lang w:val="en-US" w:eastAsia="en-US"/>
        </w:rPr>
        <w:t xml:space="preserve">1, 2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33 </w:t>
      </w:r>
      <w:r>
        <w:rPr>
          <w:rStyle w:val="CharStyle11"/>
        </w:rPr>
        <w:t>Закона о закупках заказчик при описании в документации о закупке объекта закупки должен руководствоваться следующими правилами:</w:t>
      </w:r>
    </w:p>
    <w:p>
      <w:pPr>
        <w:pStyle w:val="Style10"/>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1"/>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rStyle w:val="CharStyle11"/>
        </w:rPr>
        <w:t>сопровождение такого указания словами "или эквивалент";</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1"/>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rStyle w:val="CharStyle11"/>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5"/>
        </w:numPr>
        <w:shd w:val="clear" w:color="auto" w:fill="auto"/>
        <w:tabs>
          <w:tab w:pos="1033" w:val="left"/>
        </w:tabs>
        <w:bidi w:val="0"/>
        <w:spacing w:before="0" w:after="0" w:line="240" w:lineRule="auto"/>
        <w:ind w:left="0" w:right="0" w:firstLine="720"/>
        <w:jc w:val="both"/>
      </w:pPr>
      <w:r>
        <w:rPr>
          <w:rStyle w:val="CharStyle11"/>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rStyle w:val="CharStyle11"/>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w:t>
      </w:r>
    </w:p>
    <w:p>
      <w:pPr>
        <w:pStyle w:val="Style10"/>
        <w:keepNext w:val="0"/>
        <w:keepLines w:val="0"/>
        <w:widowControl w:val="0"/>
        <w:shd w:val="clear" w:color="auto" w:fill="auto"/>
        <w:bidi w:val="0"/>
        <w:spacing w:before="0" w:after="0" w:line="240" w:lineRule="auto"/>
        <w:ind w:left="0" w:right="0" w:firstLine="0"/>
        <w:jc w:val="both"/>
      </w:pPr>
      <w:r>
        <w:rPr>
          <w:rStyle w:val="CharStyle11"/>
        </w:rPr>
        <w:t>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 </w:t>
      </w:r>
      <w:r>
        <w:rPr>
          <w:rStyle w:val="CharStyle11"/>
          <w:lang w:val="en-US" w:eastAsia="en-US"/>
        </w:rPr>
        <w:t xml:space="preserve">2 </w:t>
      </w:r>
      <w:r>
        <w:rPr>
          <w:rStyle w:val="CharStyle11"/>
        </w:rPr>
        <w:t xml:space="preserve">ст. </w:t>
      </w:r>
      <w:r>
        <w:rPr>
          <w:rStyle w:val="CharStyle11"/>
          <w:lang w:val="en-US" w:eastAsia="en-US"/>
        </w:rPr>
        <w:t xml:space="preserve">33 </w:t>
      </w:r>
      <w:r>
        <w:rPr>
          <w:rStyle w:val="CharStyle11"/>
        </w:rPr>
        <w:t xml:space="preserve">Закона о закупках описание объекта закупки в соответствии с требованиями, указанными в части </w:t>
      </w:r>
      <w:r>
        <w:rPr>
          <w:rStyle w:val="CharStyle11"/>
          <w:lang w:val="en-US" w:eastAsia="en-US"/>
        </w:rPr>
        <w:t xml:space="preserve">1 </w:t>
      </w:r>
      <w:r>
        <w:rPr>
          <w:rStyle w:val="CharStyle11"/>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 </w:t>
      </w:r>
      <w:r>
        <w:rPr>
          <w:rStyle w:val="CharStyle11"/>
          <w:lang w:val="en-US" w:eastAsia="en-US"/>
        </w:rPr>
        <w:t xml:space="preserve">2.1 </w:t>
      </w:r>
      <w:r>
        <w:rPr>
          <w:rStyle w:val="CharStyle11"/>
        </w:rPr>
        <w:t xml:space="preserve">технического задания (описания объекта оспариваемой закупки) установлено, что выполняемые работы, используемые материалы, оборудование, изделия, иные предметы должны соответствовать проектно-технической документации с шифром </w:t>
      </w:r>
      <w:r>
        <w:rPr>
          <w:rStyle w:val="CharStyle11"/>
          <w:lang w:val="en-US" w:eastAsia="en-US"/>
        </w:rPr>
        <w:t xml:space="preserve">59056/25– </w:t>
      </w:r>
      <w:r>
        <w:rPr>
          <w:rStyle w:val="CharStyle11"/>
        </w:rPr>
        <w:t xml:space="preserve">МСОН от </w:t>
      </w:r>
      <w:r>
        <w:rPr>
          <w:rStyle w:val="CharStyle11"/>
          <w:lang w:val="en-US" w:eastAsia="en-US"/>
        </w:rPr>
        <w:t xml:space="preserve">30.11.2025, </w:t>
      </w:r>
      <w:r>
        <w:rPr>
          <w:rStyle w:val="CharStyle11"/>
        </w:rPr>
        <w:t xml:space="preserve">которые указаны в приложении </w:t>
      </w:r>
      <w:r>
        <w:rPr>
          <w:rStyle w:val="CharStyle11"/>
          <w:lang w:val="en-US" w:eastAsia="en-US"/>
        </w:rPr>
        <w:t xml:space="preserve">№ 1 </w:t>
      </w:r>
      <w:r>
        <w:rPr>
          <w:rStyle w:val="CharStyle11"/>
        </w:rPr>
        <w:t xml:space="preserve">к техническому заданию отдельными разделами (файлами). При этом исходя из п. </w:t>
      </w:r>
      <w:r>
        <w:rPr>
          <w:rStyle w:val="CharStyle11"/>
          <w:lang w:val="en-US" w:eastAsia="en-US"/>
        </w:rPr>
        <w:t xml:space="preserve">2.2.1 </w:t>
      </w:r>
      <w:r>
        <w:rPr>
          <w:rStyle w:val="CharStyle11"/>
        </w:rPr>
        <w:t xml:space="preserve">настоящего задания подрядчик обязан выполнить работы в соответствии с утвержденной проектно-технической документации с шифром </w:t>
      </w:r>
      <w:r>
        <w:rPr>
          <w:rStyle w:val="CharStyle11"/>
          <w:lang w:val="en-US" w:eastAsia="en-US"/>
        </w:rPr>
        <w:t xml:space="preserve">59056/25– </w:t>
      </w:r>
      <w:r>
        <w:rPr>
          <w:rStyle w:val="CharStyle11"/>
        </w:rPr>
        <w:t xml:space="preserve">МСОН от </w:t>
      </w:r>
      <w:r>
        <w:rPr>
          <w:rStyle w:val="CharStyle11"/>
          <w:lang w:val="en-US" w:eastAsia="en-US"/>
        </w:rPr>
        <w:t>30.11.2025.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 учетом вышеизложенного, оспариваемые положения извещения о проведении рассматриваемой закупки в части недопустимости применения сирены модели </w:t>
      </w:r>
      <w:r>
        <w:rPr>
          <w:rStyle w:val="CharStyle11"/>
          <w:lang w:val="en-US" w:eastAsia="en-US"/>
        </w:rPr>
        <w:t xml:space="preserve">LK-M2 </w:t>
      </w:r>
      <w:r>
        <w:rPr>
          <w:rStyle w:val="CharStyle11"/>
        </w:rPr>
        <w:t xml:space="preserve">исходя из требований ПП РФ </w:t>
      </w:r>
      <w:r>
        <w:rPr>
          <w:rStyle w:val="CharStyle11"/>
          <w:lang w:val="en-US" w:eastAsia="en-US"/>
        </w:rPr>
        <w:t xml:space="preserve">№ 769 </w:t>
      </w:r>
      <w:r>
        <w:rPr>
          <w:rStyle w:val="CharStyle11"/>
        </w:rPr>
        <w:t xml:space="preserve">в части обязательной сертификации ТР ЕАЭС </w:t>
      </w:r>
      <w:r>
        <w:rPr>
          <w:rStyle w:val="CharStyle11"/>
          <w:lang w:val="en-US" w:eastAsia="en-US"/>
        </w:rPr>
        <w:t xml:space="preserve">050/2021, </w:t>
      </w:r>
      <w:r>
        <w:rPr>
          <w:rStyle w:val="CharStyle11"/>
        </w:rPr>
        <w:t xml:space="preserve">а также противоречии сирен </w:t>
      </w:r>
      <w:r>
        <w:rPr>
          <w:rStyle w:val="CharStyle11"/>
          <w:lang w:val="en-US" w:eastAsia="en-US"/>
        </w:rPr>
        <w:t xml:space="preserve">LK-2001, LK-М2 </w:t>
      </w:r>
      <w:r>
        <w:rPr>
          <w:rStyle w:val="CharStyle11"/>
        </w:rPr>
        <w:t xml:space="preserve">техническим требованиям, об отсутствии серийного производства блока управления БУС-МС </w:t>
      </w:r>
      <w:r>
        <w:rPr>
          <w:rStyle w:val="CharStyle11"/>
          <w:lang w:val="en-US" w:eastAsia="en-US"/>
        </w:rPr>
        <w:t xml:space="preserve">220 </w:t>
      </w:r>
      <w:r>
        <w:rPr>
          <w:rStyle w:val="CharStyle11"/>
        </w:rPr>
        <w:t>ГТИВ.46833.002-03 были включены в состав Проекта, которым (в том числе в части поставляемого товара) необходимо руководствоваться в ходе исполнения обязательств по контракту.</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тем, с учетом письма ГУ МЧС России по Пермскому краю </w:t>
      </w:r>
      <w:r>
        <w:rPr>
          <w:rStyle w:val="CharStyle11"/>
          <w:lang w:val="en-US" w:eastAsia="en-US"/>
        </w:rPr>
        <w:t xml:space="preserve">№ </w:t>
      </w:r>
      <w:r>
        <w:rPr>
          <w:rStyle w:val="CharStyle11"/>
        </w:rPr>
        <w:t xml:space="preserve">ИП-168-1241 Комиссия полагает необходимым отметить, что в данное время в отношении технического регламента Евразийского экономического союза «О безопасности продукции, предназначенной для гражданской обороны и защиты от чрезвычайных ситуаций природного и техногенного характера» </w:t>
      </w:r>
      <w:r>
        <w:rPr>
          <w:rStyle w:val="CharStyle11"/>
          <w:lang w:val="en-US" w:eastAsia="en-US"/>
        </w:rPr>
        <w:t xml:space="preserve">(TP </w:t>
      </w:r>
      <w:r>
        <w:rPr>
          <w:rStyle w:val="CharStyle11"/>
        </w:rPr>
        <w:t xml:space="preserve">ЕАЭС </w:t>
      </w:r>
      <w:r>
        <w:rPr>
          <w:rStyle w:val="CharStyle11"/>
          <w:lang w:val="en-US" w:eastAsia="en-US"/>
        </w:rPr>
        <w:t xml:space="preserve">050/2021) </w:t>
      </w:r>
      <w:r>
        <w:rPr>
          <w:rStyle w:val="CharStyle11"/>
        </w:rPr>
        <w:t xml:space="preserve">предусмотрен переходный период, регулируемый решением Коллегии Евразийской экономической комиссии (ЕЭК) от </w:t>
      </w:r>
      <w:r>
        <w:rPr>
          <w:rStyle w:val="CharStyle11"/>
          <w:lang w:val="en-US" w:eastAsia="en-US"/>
        </w:rPr>
        <w:t xml:space="preserve">01.02.2022 № 18, </w:t>
      </w:r>
      <w:r>
        <w:rPr>
          <w:rStyle w:val="CharStyle11"/>
        </w:rPr>
        <w:t xml:space="preserve">а также решением от </w:t>
      </w:r>
      <w:r>
        <w:rPr>
          <w:rStyle w:val="CharStyle11"/>
          <w:lang w:val="en-US" w:eastAsia="en-US"/>
        </w:rPr>
        <w:t xml:space="preserve">23.12.2024 </w:t>
      </w:r>
      <w:r>
        <w:rPr>
          <w:rStyle w:val="CharStyle11"/>
        </w:rPr>
        <w:t xml:space="preserve">г. </w:t>
      </w:r>
      <w:r>
        <w:rPr>
          <w:rStyle w:val="CharStyle11"/>
          <w:lang w:val="en-US" w:eastAsia="en-US"/>
        </w:rPr>
        <w:t xml:space="preserve">№154. </w:t>
      </w:r>
      <w:r>
        <w:rPr>
          <w:rStyle w:val="CharStyle11"/>
        </w:rPr>
        <w:t xml:space="preserve">Подпунктом «б» пункта </w:t>
      </w:r>
      <w:r>
        <w:rPr>
          <w:rStyle w:val="CharStyle11"/>
          <w:lang w:val="en-US" w:eastAsia="en-US"/>
        </w:rPr>
        <w:t xml:space="preserve">1 </w:t>
      </w:r>
      <w:r>
        <w:rPr>
          <w:rStyle w:val="CharStyle11"/>
        </w:rPr>
        <w:t xml:space="preserve">Решения </w:t>
      </w:r>
      <w:r>
        <w:rPr>
          <w:rStyle w:val="CharStyle11"/>
          <w:lang w:val="en-US" w:eastAsia="en-US"/>
        </w:rPr>
        <w:t xml:space="preserve">№ 18 </w:t>
      </w:r>
      <w:r>
        <w:rPr>
          <w:rStyle w:val="CharStyle11"/>
        </w:rPr>
        <w:t xml:space="preserve">установлено, что до </w:t>
      </w:r>
      <w:r>
        <w:rPr>
          <w:rStyle w:val="CharStyle11"/>
          <w:lang w:val="en-US" w:eastAsia="en-US"/>
        </w:rPr>
        <w:t xml:space="preserve">1 </w:t>
      </w:r>
      <w:r>
        <w:rPr>
          <w:rStyle w:val="CharStyle11"/>
        </w:rPr>
        <w:t xml:space="preserve">июня </w:t>
      </w:r>
      <w:r>
        <w:rPr>
          <w:rStyle w:val="CharStyle11"/>
          <w:lang w:val="en-US" w:eastAsia="en-US"/>
        </w:rPr>
        <w:t xml:space="preserve">2026 </w:t>
      </w:r>
      <w:r>
        <w:rPr>
          <w:rStyle w:val="CharStyle11"/>
        </w:rPr>
        <w:t xml:space="preserve">г. допускаются производство и выпуск в обращение продукции, не подлежавшей до даты вступления в силу ТР ЕАЭС </w:t>
      </w:r>
      <w:r>
        <w:rPr>
          <w:rStyle w:val="CharStyle11"/>
          <w:lang w:val="en-US" w:eastAsia="en-US"/>
        </w:rPr>
        <w:t xml:space="preserve">050/2021 </w:t>
      </w:r>
      <w:r>
        <w:rPr>
          <w:rStyle w:val="CharStyle11"/>
        </w:rPr>
        <w:t xml:space="preserve">обязательной оценке соответствия обязательным требованиям, установленным актами, входящими в право Союза, или законодательством государства-члена, без документов об обязательной оценке соответствия продукции и без маркировки национальным знаком соответствия (знаком обращения на рынке). Так как до вступления в силу </w:t>
      </w:r>
      <w:r>
        <w:rPr>
          <w:rStyle w:val="CharStyle11"/>
          <w:lang w:val="en-US" w:eastAsia="en-US"/>
        </w:rPr>
        <w:t xml:space="preserve">TP </w:t>
      </w:r>
      <w:r>
        <w:rPr>
          <w:rStyle w:val="CharStyle11"/>
        </w:rPr>
        <w:t xml:space="preserve">ЕАЭС </w:t>
      </w:r>
      <w:r>
        <w:rPr>
          <w:rStyle w:val="CharStyle11"/>
          <w:lang w:val="en-US" w:eastAsia="en-US"/>
        </w:rPr>
        <w:t xml:space="preserve">050/2021 </w:t>
      </w:r>
      <w:r>
        <w:rPr>
          <w:rStyle w:val="CharStyle11"/>
        </w:rPr>
        <w:t xml:space="preserve">электромеханические сирены не подлежали требованию, по обязательной оценке, соответствия обязательным требованиям, установленным актами, входящими в право Союза, или законодательством государства-члена, без документов об обязательной оценке соответствия продукции и без маркировки национальным знаком соответствия, то до </w:t>
      </w:r>
      <w:r>
        <w:rPr>
          <w:rStyle w:val="CharStyle11"/>
          <w:lang w:val="en-US" w:eastAsia="en-US"/>
        </w:rPr>
        <w:t xml:space="preserve">1 </w:t>
      </w:r>
      <w:r>
        <w:rPr>
          <w:rStyle w:val="CharStyle11"/>
        </w:rPr>
        <w:t xml:space="preserve">июня </w:t>
      </w:r>
      <w:r>
        <w:rPr>
          <w:rStyle w:val="CharStyle11"/>
          <w:lang w:val="en-US" w:eastAsia="en-US"/>
        </w:rPr>
        <w:t xml:space="preserve">2026 </w:t>
      </w:r>
      <w:r>
        <w:rPr>
          <w:rStyle w:val="CharStyle11"/>
        </w:rPr>
        <w:t xml:space="preserve">г. допускаются производство и выпуск в обращение на таможенной территории Союза данной продукции. Электромеханическая сирена </w:t>
      </w:r>
      <w:r>
        <w:rPr>
          <w:rStyle w:val="CharStyle11"/>
          <w:lang w:val="en-US" w:eastAsia="en-US"/>
        </w:rPr>
        <w:t xml:space="preserve">LK-M2 </w:t>
      </w:r>
      <w:r>
        <w:rPr>
          <w:rStyle w:val="CharStyle11"/>
        </w:rPr>
        <w:t xml:space="preserve">имеет действующий сертификат, подтверждающий соответствие требованиям ГОСТ Р </w:t>
      </w:r>
      <w:r>
        <w:rPr>
          <w:rStyle w:val="CharStyle11"/>
          <w:lang w:val="en-US" w:eastAsia="en-US"/>
        </w:rPr>
        <w:t xml:space="preserve">42.3.01-2021 </w:t>
      </w:r>
      <w:r>
        <w:rPr>
          <w:rStyle w:val="CharStyle11"/>
        </w:rPr>
        <w:t xml:space="preserve">«Гражданская оборона. Технические средства оповещения населения. Классификация. Общие технические требования» с регистрационным номером </w:t>
      </w:r>
      <w:r>
        <w:rPr>
          <w:rStyle w:val="CharStyle11"/>
          <w:lang w:val="en-US" w:eastAsia="en-US"/>
        </w:rPr>
        <w:t xml:space="preserve">POCCRU.32766.04ПГС0.ОС02.03536 № 0074570, </w:t>
      </w:r>
      <w:r>
        <w:rPr>
          <w:rStyle w:val="CharStyle11"/>
        </w:rPr>
        <w:t xml:space="preserve">со сроком действия с </w:t>
      </w:r>
      <w:r>
        <w:rPr>
          <w:rStyle w:val="CharStyle11"/>
          <w:lang w:val="en-US" w:eastAsia="en-US"/>
        </w:rPr>
        <w:t xml:space="preserve">24.11.2025 </w:t>
      </w:r>
      <w:r>
        <w:rPr>
          <w:rStyle w:val="CharStyle11"/>
        </w:rPr>
        <w:t xml:space="preserve">по </w:t>
      </w:r>
      <w:r>
        <w:rPr>
          <w:rStyle w:val="CharStyle11"/>
          <w:lang w:val="en-US" w:eastAsia="en-US"/>
        </w:rPr>
        <w:t xml:space="preserve">23.11.2028. </w:t>
      </w:r>
      <w:r>
        <w:rPr>
          <w:rStyle w:val="CharStyle11"/>
        </w:rPr>
        <w:t xml:space="preserve">Проектная документация ШИФР 59014/24-МСО была согласована Главным управлением МЧС России по Пермскому краю </w:t>
      </w:r>
      <w:r>
        <w:rPr>
          <w:rStyle w:val="CharStyle11"/>
          <w:lang w:val="en-US" w:eastAsia="en-US"/>
        </w:rPr>
        <w:t xml:space="preserve">16.12.2024 </w:t>
      </w:r>
      <w:r>
        <w:rPr>
          <w:rStyle w:val="CharStyle11"/>
        </w:rPr>
        <w:t xml:space="preserve">г. в том числе на использование электромеханических сирен </w:t>
      </w:r>
      <w:r>
        <w:rPr>
          <w:rStyle w:val="CharStyle11"/>
          <w:lang w:val="en-US" w:eastAsia="en-US"/>
        </w:rPr>
        <w:t xml:space="preserve">LK-M2 </w:t>
      </w:r>
      <w:r>
        <w:rPr>
          <w:rStyle w:val="CharStyle11"/>
        </w:rPr>
        <w:t xml:space="preserve">имевших на тот момент действующий сертификат соответствия с регистрационным номером </w:t>
      </w:r>
      <w:r>
        <w:rPr>
          <w:rStyle w:val="CharStyle11"/>
          <w:lang w:val="en-US" w:eastAsia="en-US"/>
        </w:rPr>
        <w:t xml:space="preserve">POCCRU.HA39.H06106 № 0496193, </w:t>
      </w:r>
      <w:r>
        <w:rPr>
          <w:rStyle w:val="CharStyle11"/>
        </w:rPr>
        <w:t>со сроком действия</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с </w:t>
      </w:r>
      <w:r>
        <w:rPr>
          <w:rStyle w:val="CharStyle11"/>
          <w:lang w:val="en-US" w:eastAsia="en-US"/>
        </w:rPr>
        <w:t xml:space="preserve">21.09.2022 </w:t>
      </w:r>
      <w:r>
        <w:rPr>
          <w:rStyle w:val="CharStyle11"/>
        </w:rPr>
        <w:t xml:space="preserve">по </w:t>
      </w:r>
      <w:r>
        <w:rPr>
          <w:rStyle w:val="CharStyle11"/>
          <w:lang w:val="en-US" w:eastAsia="en-US"/>
        </w:rPr>
        <w:t>20.09.2025.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Необходимо отметить, что в материалы дела было представлено письмо ГУ МЧС России по Пермскому краю </w:t>
      </w:r>
      <w:r>
        <w:rPr>
          <w:rStyle w:val="CharStyle11"/>
          <w:lang w:val="en-US" w:eastAsia="en-US"/>
        </w:rPr>
        <w:t xml:space="preserve">№ </w:t>
      </w:r>
      <w:r>
        <w:rPr>
          <w:rStyle w:val="CharStyle11"/>
        </w:rPr>
        <w:t xml:space="preserve">ИВ-168-2578 от </w:t>
      </w:r>
      <w:r>
        <w:rPr>
          <w:rStyle w:val="CharStyle11"/>
          <w:lang w:val="en-US" w:eastAsia="en-US"/>
        </w:rPr>
        <w:t xml:space="preserve">10.12.2025 </w:t>
      </w:r>
      <w:r>
        <w:rPr>
          <w:rStyle w:val="CharStyle11"/>
        </w:rPr>
        <w:t>г. которым Проект был рассмотрен и согласован, в связи с чем описание объекта закупки, размещенное в составе оспариваемого извещения (техническое задание) содержит дополнительное описание объекта (дополнительное техническое задание), предусмотренное согласованным Проектом. При этом требованиями законодательства о контрактной системе не предусмотрено обжалование положений согласованной иными государственными органами проектной документации, в том числе на предмет соответствия такой документации требованиям отраслевого законодательства.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основании вышеизложенного, Комиссия оценивает Проект, как согласованный компетентными органами и не противоречащий отраслевым норам.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в соответствии с письмом Министерства территориальной безопасности Пермского края (вх.№ 6636-ЭП/26) необходимо обратить внимание, что в соответствии с постановлением Правительства Пермского края от </w:t>
      </w:r>
      <w:r>
        <w:rPr>
          <w:rStyle w:val="CharStyle11"/>
          <w:lang w:val="en-US" w:eastAsia="en-US"/>
        </w:rPr>
        <w:t xml:space="preserve">08.12.2021 № </w:t>
      </w:r>
      <w:r>
        <w:rPr>
          <w:rStyle w:val="CharStyle11"/>
        </w:rPr>
        <w:t xml:space="preserve">990-п «О комплексной системе экстренного оповещения населения Пермского края» вся территория г. Перми относится к зоне экстренного оповещения населения Пермского края (далее </w:t>
      </w:r>
      <w:r>
        <w:rPr>
          <w:rStyle w:val="CharStyle11"/>
          <w:lang w:val="en-US" w:eastAsia="en-US"/>
        </w:rPr>
        <w:t xml:space="preserve">– </w:t>
      </w:r>
      <w:r>
        <w:rPr>
          <w:rStyle w:val="CharStyle11"/>
        </w:rPr>
        <w:t>КСЭОН).</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Указом Президента Российской Федерации от </w:t>
      </w:r>
      <w:r>
        <w:rPr>
          <w:rStyle w:val="CharStyle11"/>
          <w:lang w:val="en-US" w:eastAsia="en-US"/>
        </w:rPr>
        <w:t xml:space="preserve">13.11.2012 № 1522 </w:t>
      </w:r>
      <w:r>
        <w:rPr>
          <w:rStyle w:val="CharStyle11"/>
        </w:rPr>
        <w:t>«О создании комплексной системы экстренного оповещения населения об угрозе возникновения или о возникновении чрезвычайных ситуаций» и нормативными актами МЧС России все население, проживающее в границах зон КСЭОН должно оповещаться посредством речевых сообщений.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тем положениями Проекта предусмотрено использование только электромеханических сирен иностранного производства типа </w:t>
      </w:r>
      <w:r>
        <w:rPr>
          <w:rStyle w:val="CharStyle11"/>
          <w:lang w:val="en-US" w:eastAsia="en-US"/>
        </w:rPr>
        <w:t xml:space="preserve">LK-2001 </w:t>
      </w:r>
      <w:r>
        <w:rPr>
          <w:rStyle w:val="CharStyle11"/>
        </w:rPr>
        <w:t xml:space="preserve">и </w:t>
      </w:r>
      <w:r>
        <w:rPr>
          <w:rStyle w:val="CharStyle11"/>
          <w:lang w:val="en-US" w:eastAsia="en-US"/>
        </w:rPr>
        <w:t xml:space="preserve">LK-M2, </w:t>
      </w:r>
      <w:r>
        <w:rPr>
          <w:rStyle w:val="CharStyle11"/>
        </w:rPr>
        <w:t xml:space="preserve">функционал которых позволяет оповещать население только посредством сиренного звукового сигнала «Внимание всем», что не дает возможность передать населению речевой сигнал оповещения «Беспилотная опасность», «Ракетная опасность», а также не позволяет реализовать требования Постановления Правительства Российской Федерации от </w:t>
      </w:r>
      <w:r>
        <w:rPr>
          <w:rStyle w:val="CharStyle11"/>
          <w:lang w:val="en-US" w:eastAsia="en-US"/>
        </w:rPr>
        <w:t xml:space="preserve">02.04.2020 № 417 </w:t>
      </w:r>
      <w:r>
        <w:rPr>
          <w:rStyle w:val="CharStyle11"/>
        </w:rPr>
        <w:t>«Об утверждении Правил поведения, обязательных для исполнения гражданами и организациями, при введении режима повышенной готовности или чрезвычайной ситуации» в части доведения до населения информации о порядке экстренных действий при атаках беспилотных воздушных судов (БПЛА).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для запуска электросирен иностранного производства используются блоки запуска электросирен БУС-МС220 (ГТИВ.46833.003-03). В соответствии с письмом разработчика и производителя комплекса КПАСО-Р «МАРС-Арсенал» от </w:t>
      </w:r>
      <w:r>
        <w:rPr>
          <w:rStyle w:val="CharStyle11"/>
          <w:lang w:val="en-US" w:eastAsia="en-US"/>
        </w:rPr>
        <w:t xml:space="preserve">06.05.2026 № 44 </w:t>
      </w:r>
      <w:r>
        <w:rPr>
          <w:rStyle w:val="CharStyle11"/>
        </w:rPr>
        <w:t xml:space="preserve">указанное в закупке оборудование не относится к комплексу «МАРС-Арсенал» и несовместимо с ранее установленными пунктами управления РАСЦО и МСО Пермского края (требования проекта МСО г. Перми). Указанное оборудование оповещение не входит в Справочник «Технические средства оповещения» МЧС России, не относится к другим рекомендованным к применению МЧС комплексам средств оповещения, является отдельными комплектами оборудования, которые должны закупаться в соответствии требованиями ПП РФ </w:t>
      </w:r>
      <w:r>
        <w:rPr>
          <w:rStyle w:val="CharStyle11"/>
          <w:lang w:val="en-US" w:eastAsia="en-US"/>
        </w:rPr>
        <w:t xml:space="preserve">№ 1875. </w:t>
      </w:r>
      <w:r>
        <w:rPr>
          <w:rStyle w:val="CharStyle11"/>
        </w:rPr>
        <w:t xml:space="preserve">При этом указанное оборудование не относится к техническим средствам оповещения, которые прошли приемочные испытания в Пермском крае в </w:t>
      </w:r>
      <w:r>
        <w:rPr>
          <w:rStyle w:val="CharStyle11"/>
          <w:lang w:val="en-US" w:eastAsia="en-US"/>
        </w:rPr>
        <w:t xml:space="preserve">2017 </w:t>
      </w:r>
      <w:r>
        <w:rPr>
          <w:rStyle w:val="CharStyle11"/>
        </w:rPr>
        <w:t xml:space="preserve">г. с участием представителей органа сертификации систем оповещения населения РФ ВНИИ ГОЧС МЧС России (экспертное заключение от </w:t>
      </w:r>
      <w:r>
        <w:rPr>
          <w:rStyle w:val="CharStyle11"/>
          <w:lang w:val="en-US" w:eastAsia="en-US"/>
        </w:rPr>
        <w:t xml:space="preserve">15.12.2017 № 4534-13-1). </w:t>
      </w:r>
      <w:r>
        <w:rPr>
          <w:rStyle w:val="CharStyle11"/>
        </w:rPr>
        <w:t>Исходя из вышеуказанного, используемые в закупке и проекте технические средства оповещения иностранного производства, серийно не производятся на территории Российской Федерации и не прошли сертификацию МЧС России.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Более того ранее используемые в РАСЦО Пермского края аналогичные электросирены иностранного производства, установленные в </w:t>
      </w:r>
      <w:r>
        <w:rPr>
          <w:rStyle w:val="CharStyle11"/>
          <w:lang w:val="en-US" w:eastAsia="en-US"/>
        </w:rPr>
        <w:t xml:space="preserve">2013 </w:t>
      </w:r>
      <w:r>
        <w:rPr>
          <w:rStyle w:val="CharStyle11"/>
        </w:rPr>
        <w:t xml:space="preserve">г., получившие разрешительные документы согласно ГОСТ Р </w:t>
      </w:r>
      <w:r>
        <w:rPr>
          <w:rStyle w:val="CharStyle11"/>
          <w:lang w:val="en-US" w:eastAsia="en-US"/>
        </w:rPr>
        <w:t xml:space="preserve">42.3.01-2014 </w:t>
      </w:r>
      <w:r>
        <w:rPr>
          <w:rStyle w:val="CharStyle11"/>
        </w:rPr>
        <w:t xml:space="preserve">«Гражданская оборона. Технические средства оповещения населения. Классификация. Общие технические требования» в </w:t>
      </w:r>
      <w:r>
        <w:rPr>
          <w:rStyle w:val="CharStyle11"/>
          <w:lang w:val="en-US" w:eastAsia="en-US"/>
        </w:rPr>
        <w:t xml:space="preserve">2017 </w:t>
      </w:r>
      <w:r>
        <w:rPr>
          <w:rStyle w:val="CharStyle11"/>
        </w:rPr>
        <w:t xml:space="preserve">г., до ввода в действие совместного приказа МЧС России </w:t>
      </w:r>
      <w:r>
        <w:rPr>
          <w:rStyle w:val="CharStyle11"/>
          <w:lang w:val="en-US" w:eastAsia="en-US"/>
        </w:rPr>
        <w:t xml:space="preserve">№ 578 </w:t>
      </w:r>
      <w:r>
        <w:rPr>
          <w:rStyle w:val="CharStyle11"/>
        </w:rPr>
        <w:t xml:space="preserve">Минцифры России </w:t>
      </w:r>
      <w:r>
        <w:rPr>
          <w:rStyle w:val="CharStyle11"/>
          <w:lang w:val="en-US" w:eastAsia="en-US"/>
        </w:rPr>
        <w:t xml:space="preserve">№ 365 </w:t>
      </w:r>
      <w:r>
        <w:rPr>
          <w:rStyle w:val="CharStyle11"/>
        </w:rPr>
        <w:t xml:space="preserve">«Об утверждении Положения о системах оповещения населения» и ГОСТ Р </w:t>
      </w:r>
      <w:r>
        <w:rPr>
          <w:rStyle w:val="CharStyle11"/>
          <w:lang w:val="en-US" w:eastAsia="en-US"/>
        </w:rPr>
        <w:t xml:space="preserve">42.3.05-2023 </w:t>
      </w:r>
      <w:r>
        <w:rPr>
          <w:rStyle w:val="CharStyle11"/>
        </w:rPr>
        <w:t>«Гражданская оборона. Технические средства оповещения населения. Протоколы информационного обмена. Общие требования», в настоящее время не соответствуют необходимому функционалу программного и технического</w:t>
      </w:r>
      <w:r>
        <w:br w:type="page"/>
      </w:r>
    </w:p>
    <w:p>
      <w:pPr>
        <w:pStyle w:val="Style10"/>
        <w:keepNext w:val="0"/>
        <w:keepLines w:val="0"/>
        <w:widowControl w:val="0"/>
        <w:shd w:val="clear" w:color="auto" w:fill="auto"/>
        <w:bidi w:val="0"/>
        <w:spacing w:before="0" w:after="0" w:line="240" w:lineRule="auto"/>
        <w:ind w:left="0" w:right="0" w:firstLine="0"/>
        <w:jc w:val="both"/>
      </w:pPr>
      <w:r>
        <w:rPr>
          <w:rStyle w:val="CharStyle11"/>
        </w:rPr>
        <w:t>сопряжения с РАСЦО и не имеют программно-аппаратного сопряжения с соответствующими автоматизированными комплексами сбора, обработки и представления информации систем контроля КСЭОН. Соответственно предлагаемое закупкой оборудование для установки в МСО г. Перми с РАСЦО Пермского края сопряжено быть не может, проектная документация требует корректировки технических решений.</w:t>
      </w:r>
    </w:p>
    <w:p>
      <w:pPr>
        <w:pStyle w:val="Style10"/>
        <w:keepNext w:val="0"/>
        <w:keepLines w:val="0"/>
        <w:widowControl w:val="0"/>
        <w:shd w:val="clear" w:color="auto" w:fill="auto"/>
        <w:bidi w:val="0"/>
        <w:spacing w:before="0" w:after="240" w:line="240" w:lineRule="auto"/>
        <w:ind w:left="0" w:right="0" w:firstLine="720"/>
        <w:jc w:val="both"/>
      </w:pPr>
      <w:r>
        <w:rPr>
          <w:rStyle w:val="CharStyle11"/>
        </w:rPr>
        <w:t xml:space="preserve">С учетом вышеизложенного и на основании статей </w:t>
      </w:r>
      <w:r>
        <w:rPr>
          <w:rStyle w:val="CharStyle11"/>
          <w:lang w:val="en-US" w:eastAsia="en-US"/>
        </w:rPr>
        <w:t xml:space="preserve">99, 106 </w:t>
      </w:r>
      <w:r>
        <w:rPr>
          <w:rStyle w:val="CharStyle11"/>
        </w:rPr>
        <w:t>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6"/>
        <w:keepNext/>
        <w:keepLines/>
        <w:widowControl w:val="0"/>
        <w:shd w:val="clear" w:color="auto" w:fill="auto"/>
        <w:bidi w:val="0"/>
        <w:spacing w:before="0" w:after="240" w:line="240" w:lineRule="auto"/>
        <w:ind w:left="0" w:right="0" w:firstLine="0"/>
        <w:jc w:val="center"/>
      </w:pPr>
      <w:bookmarkStart w:id="10" w:name="bookmark10"/>
      <w:r>
        <w:rPr>
          <w:rStyle w:val="CharStyle17"/>
          <w:b/>
          <w:bCs/>
        </w:rPr>
        <w:t>РЕШИЛА:</w:t>
      </w:r>
      <w:bookmarkEnd w:id="10"/>
    </w:p>
    <w:p>
      <w:pPr>
        <w:pStyle w:val="Style10"/>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1"/>
        </w:rPr>
        <w:t xml:space="preserve">Признать жалобу ООО «ЦСБ» на действия ГКУ ПК «ЦОЗ», МКУ ПГУГЗ при проведении открытого аукциона в электронной форме на развитие муниципальной системы оповещения населения города Перми (изв. </w:t>
      </w:r>
      <w:r>
        <w:rPr>
          <w:rStyle w:val="CharStyle11"/>
          <w:lang w:val="en-US" w:eastAsia="en-US"/>
        </w:rPr>
        <w:t xml:space="preserve">№ 0356500001426003693) </w:t>
      </w:r>
      <w:r>
        <w:rPr>
          <w:rStyle w:val="CharStyle11"/>
        </w:rPr>
        <w:t>обоснованной в части неприменения национального режима;</w:t>
      </w:r>
    </w:p>
    <w:p>
      <w:pPr>
        <w:pStyle w:val="Style10"/>
        <w:keepNext w:val="0"/>
        <w:keepLines w:val="0"/>
        <w:widowControl w:val="0"/>
        <w:numPr>
          <w:ilvl w:val="0"/>
          <w:numId w:val="7"/>
        </w:numPr>
        <w:shd w:val="clear" w:color="auto" w:fill="auto"/>
        <w:tabs>
          <w:tab w:pos="1074" w:val="left"/>
        </w:tabs>
        <w:bidi w:val="0"/>
        <w:spacing w:before="0" w:after="0" w:line="240" w:lineRule="auto"/>
        <w:ind w:left="0" w:right="0" w:firstLine="720"/>
        <w:jc w:val="both"/>
      </w:pPr>
      <w:r>
        <w:rPr>
          <w:rStyle w:val="CharStyle11"/>
        </w:rPr>
        <w:t xml:space="preserve">Признать в действиях ГКУ ПК «ЦОЗ», МКУ ПГУГЗ нарушение п. </w:t>
      </w:r>
      <w:r>
        <w:rPr>
          <w:rStyle w:val="CharStyle11"/>
          <w:lang w:val="en-US" w:eastAsia="en-US"/>
        </w:rPr>
        <w:t xml:space="preserve">15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42 </w:t>
      </w:r>
      <w:r>
        <w:rPr>
          <w:rStyle w:val="CharStyle11"/>
        </w:rPr>
        <w:t>Закона о закупках, выявленное в ходе рассмотрения жалобы;</w:t>
      </w:r>
    </w:p>
    <w:p>
      <w:pPr>
        <w:pStyle w:val="Style10"/>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1"/>
        </w:rPr>
        <w:t>В целях устранения нарушений ГКУ ПК «ЦОЗ», МКУ ПГУГЗ, комиссии по осуществлению закупок для нужд; Оператору электронной площадки выдать предписание;</w:t>
      </w:r>
    </w:p>
    <w:p>
      <w:pPr>
        <w:pStyle w:val="Style10"/>
        <w:keepNext w:val="0"/>
        <w:keepLines w:val="0"/>
        <w:widowControl w:val="0"/>
        <w:numPr>
          <w:ilvl w:val="0"/>
          <w:numId w:val="7"/>
        </w:numPr>
        <w:shd w:val="clear" w:color="auto" w:fill="auto"/>
        <w:tabs>
          <w:tab w:pos="1074" w:val="left"/>
        </w:tabs>
        <w:bidi w:val="0"/>
        <w:spacing w:before="0" w:after="0" w:line="240" w:lineRule="auto"/>
        <w:ind w:left="0" w:right="0" w:firstLine="720"/>
        <w:jc w:val="both"/>
      </w:pPr>
      <w:r>
        <w:rPr>
          <w:rStyle w:val="CharStyle11"/>
        </w:rPr>
        <w:t>Передать материалы настоящей жалобы должностному лицу Пермского УФАС России для принятия решения о привлечении должностных лиц ГКУ ПК «ЦОЗ», МКУ ПГУГЗ к административной ответственности за допущенные нарушения Закона о закупках.</w:t>
      </w:r>
    </w:p>
    <w:p>
      <w:pPr>
        <w:pStyle w:val="Style10"/>
        <w:keepNext w:val="0"/>
        <w:keepLines w:val="0"/>
        <w:widowControl w:val="0"/>
        <w:shd w:val="clear" w:color="auto" w:fill="auto"/>
        <w:bidi w:val="0"/>
        <w:spacing w:before="0" w:after="0" w:line="240" w:lineRule="auto"/>
        <w:ind w:left="0" w:right="0" w:firstLine="0"/>
        <w:jc w:val="both"/>
      </w:pPr>
      <w:r>
        <w:rPr>
          <w:rStyle w:val="CharStyle11"/>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1065" w:right="543" w:bottom="1155" w:left="1104" w:header="0" w:footer="3" w:gutter="0"/>
          <w:pgNumType w:start="1"/>
          <w:cols w:space="720"/>
          <w:noEndnote/>
          <w:titlePg/>
          <w:rtlGutter w:val="0"/>
          <w:docGrid w:linePitch="360"/>
        </w:sectPr>
      </w:pPr>
      <w:r>
        <mc:AlternateContent>
          <mc:Choice Requires="wps">
            <w:drawing>
              <wp:anchor distT="101600" distB="420370" distL="0" distR="0" simplePos="0" relativeHeight="125829385" behindDoc="0" locked="0" layoutInCell="1" allowOverlap="1">
                <wp:simplePos x="0" y="0"/>
                <wp:positionH relativeFrom="page">
                  <wp:posOffset>739140</wp:posOffset>
                </wp:positionH>
                <wp:positionV relativeFrom="paragraph">
                  <wp:posOffset>101600</wp:posOffset>
                </wp:positionV>
                <wp:extent cx="1569720" cy="216535"/>
                <wp:wrapTopAndBottom/>
                <wp:docPr id="13" name="Shape 13"/>
                <a:graphic xmlns:a="http://schemas.openxmlformats.org/drawingml/2006/main">
                  <a:graphicData uri="http://schemas.microsoft.com/office/word/2010/wordprocessingShape">
                    <wps:wsp>
                      <wps:cNvSpPr txBox="1"/>
                      <wps:spPr>
                        <a:xfrm>
                          <a:ext cx="156972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200000000000003pt;margin-top:8.pt;width:123.60000000000001pt;height:17.050000000000001pt;z-index:-125829368;mso-wrap-distance-left:0;mso-wrap-distance-top:8.pt;mso-wrap-distance-right:0;mso-wrap-distance-bottom:33.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217170" distB="0" distL="0" distR="1786255" simplePos="0" relativeHeight="125829387" behindDoc="0" locked="0" layoutInCell="1" allowOverlap="1">
            <wp:simplePos x="0" y="0"/>
            <wp:positionH relativeFrom="page">
              <wp:posOffset>2750820</wp:posOffset>
            </wp:positionH>
            <wp:positionV relativeFrom="paragraph">
              <wp:posOffset>217170</wp:posOffset>
            </wp:positionV>
            <wp:extent cx="359410" cy="52451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3211195</wp:posOffset>
                </wp:positionH>
                <wp:positionV relativeFrom="paragraph">
                  <wp:posOffset>622300</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52.84999999999999pt;margin-top:49.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3171190</wp:posOffset>
                </wp:positionH>
                <wp:positionV relativeFrom="paragraph">
                  <wp:posOffset>305435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9.70000000000002pt;margin-top:24.050000000000001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75590" distB="243205" distL="0" distR="0" simplePos="0" relativeHeight="125829388" behindDoc="0" locked="0" layoutInCell="1" allowOverlap="1">
                <wp:simplePos x="0" y="0"/>
                <wp:positionH relativeFrom="page">
                  <wp:posOffset>6149340</wp:posOffset>
                </wp:positionH>
                <wp:positionV relativeFrom="paragraph">
                  <wp:posOffset>275590</wp:posOffset>
                </wp:positionV>
                <wp:extent cx="1039495" cy="219710"/>
                <wp:wrapTopAndBottom/>
                <wp:docPr id="21" name="Shape 21"/>
                <a:graphic xmlns:a="http://schemas.openxmlformats.org/drawingml/2006/main">
                  <a:graphicData uri="http://schemas.microsoft.com/office/word/2010/wordprocessingShape">
                    <wps:wsp>
                      <wps:cNvSpPr txBox="1"/>
                      <wps:spPr>
                        <a:xfrm>
                          <a:ext cx="1039495"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Е.С. Субботина</w:t>
                            </w:r>
                          </w:p>
                        </w:txbxContent>
                      </wps:txbx>
                      <wps:bodyPr wrap="none" lIns="0" tIns="0" rIns="0" bIns="0">
                        <a:noAutoFit/>
                      </wps:bodyPr>
                    </wps:wsp>
                  </a:graphicData>
                </a:graphic>
              </wp:anchor>
            </w:drawing>
          </mc:Choice>
          <mc:Fallback>
            <w:pict>
              <v:shape id="_x0000_s1047" type="#_x0000_t202" style="position:absolute;margin-left:484.19999999999999pt;margin-top:21.699999999999999pt;width:81.850000000000009pt;height:17.300000000000001pt;z-index:-125829365;mso-wrap-distance-left:0;mso-wrap-distance-top:21.699999999999999pt;mso-wrap-distance-right:0;mso-wrap-distance-bottom:19.150000000000002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Е.С. Субботина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Субботина Екатерина Сергеевна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170DF1A7372BA75865DD87CBF6E43525</w:t>
      </w:r>
    </w:p>
    <w:p>
      <w:pPr>
        <w:pStyle w:val="Style23"/>
        <w:keepNext w:val="0"/>
        <w:keepLines w:val="0"/>
        <w:widowControl w:val="0"/>
        <w:shd w:val="clear" w:color="auto" w:fill="auto"/>
        <w:bidi w:val="0"/>
        <w:spacing w:before="0" w:after="240" w:line="240" w:lineRule="auto"/>
        <w:ind w:right="0" w:firstLine="0"/>
        <w:jc w:val="left"/>
      </w:pPr>
      <w:r>
        <w:rPr>
          <w:rStyle w:val="CharStyle24"/>
        </w:rPr>
        <w:t xml:space="preserve">Действителен с 20.01.2026 </w:t>
      </w:r>
      <w:r>
        <w:rPr>
          <w:rStyle w:val="CharStyle24"/>
          <w:color w:val="5C5C5C"/>
        </w:rPr>
        <w:t xml:space="preserve">по </w:t>
      </w:r>
      <w:r>
        <w:rPr>
          <w:rStyle w:val="CharStyle24"/>
        </w:rPr>
        <w:t>15.04.2027</w:t>
      </w:r>
    </w:p>
    <w:p>
      <w:pPr>
        <w:pStyle w:val="Style10"/>
        <w:keepNext w:val="0"/>
        <w:keepLines w:val="0"/>
        <w:widowControl w:val="0"/>
        <w:shd w:val="clear" w:color="auto" w:fill="auto"/>
        <w:bidi w:val="0"/>
        <w:spacing w:before="0" w:after="80" w:line="240" w:lineRule="auto"/>
        <w:ind w:left="0" w:right="0" w:firstLine="0"/>
        <w:jc w:val="left"/>
      </w:pPr>
      <w:r>
        <w:rPr>
          <w:rStyle w:val="CharStyle11"/>
        </w:rPr>
        <w:t>Члены комиссии:</w:t>
      </w:r>
    </w:p>
    <w:p>
      <w:pPr>
        <w:pStyle w:val="Style10"/>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0" behindDoc="0" locked="0" layoutInCell="1" allowOverlap="1">
            <wp:simplePos x="0" y="0"/>
            <wp:positionH relativeFrom="page">
              <wp:posOffset>2726690</wp:posOffset>
            </wp:positionH>
            <wp:positionV relativeFrom="paragraph">
              <wp:posOffset>63500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3187065</wp:posOffset>
                </wp:positionH>
                <wp:positionV relativeFrom="paragraph">
                  <wp:posOffset>468630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50.95000000000002pt;margin-top:36.899999999999999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3147060</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7.80000000000001pt;margin-top:11.950000000000001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А.М. Чудинов</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Чудинов Артём Михайлович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4971A8BA0CE5D5155BD94FA9FD241816</w:t>
      </w:r>
    </w:p>
    <w:p>
      <w:pPr>
        <w:pStyle w:val="Style23"/>
        <w:keepNext w:val="0"/>
        <w:keepLines w:val="0"/>
        <w:widowControl w:val="0"/>
        <w:shd w:val="clear" w:color="auto" w:fill="auto"/>
        <w:bidi w:val="0"/>
        <w:spacing w:before="0" w:after="200" w:line="240" w:lineRule="auto"/>
        <w:ind w:right="0" w:firstLine="0"/>
        <w:jc w:val="left"/>
      </w:pPr>
      <w:r>
        <w:rPr>
          <w:rStyle w:val="CharStyle24"/>
        </w:rPr>
        <w:t xml:space="preserve">Действителен с 10.11.2025 </w:t>
      </w:r>
      <w:r>
        <w:rPr>
          <w:rStyle w:val="CharStyle24"/>
          <w:color w:val="5C5C5C"/>
        </w:rPr>
        <w:t xml:space="preserve">по </w:t>
      </w:r>
      <w:r>
        <w:rPr>
          <w:rStyle w:val="CharStyle24"/>
        </w:rPr>
        <w:t>03.02.2027</w:t>
      </w:r>
    </w:p>
    <w:p>
      <w:pPr>
        <w:pStyle w:val="Style10"/>
        <w:keepNext w:val="0"/>
        <w:keepLines w:val="0"/>
        <w:widowControl w:val="0"/>
        <w:shd w:val="clear" w:color="auto" w:fill="auto"/>
        <w:bidi w:val="0"/>
        <w:spacing w:before="0" w:after="490" w:line="240" w:lineRule="auto"/>
        <w:ind w:left="0" w:right="0" w:firstLine="0"/>
        <w:jc w:val="center"/>
      </w:pPr>
      <w:r>
        <w:drawing>
          <wp:anchor distT="0" distB="0" distL="114300" distR="1900555" simplePos="0" relativeHeight="125829391" behindDoc="0" locked="0" layoutInCell="1" allowOverlap="1">
            <wp:simplePos x="0" y="0"/>
            <wp:positionH relativeFrom="page">
              <wp:posOffset>2735580</wp:posOffset>
            </wp:positionH>
            <wp:positionV relativeFrom="paragraph">
              <wp:posOffset>114300</wp:posOffset>
            </wp:positionV>
            <wp:extent cx="359410" cy="39624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3155950</wp:posOffset>
                </wp:positionH>
                <wp:positionV relativeFrom="paragraph">
                  <wp:posOffset>199390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8.5pt;margin-top:15.700000000000001pt;width:135.59999999999999pt;height:20.40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К.Ю. Тарасов</w: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9"/>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Тарасов Кирилл Юрьевич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00B340B4265CD0F4ADB6262595D1247F8F</w:t>
      </w:r>
    </w:p>
    <w:p>
      <w:pPr>
        <w:pStyle w:val="Style23"/>
        <w:keepNext w:val="0"/>
        <w:keepLines w:val="0"/>
        <w:widowControl w:val="0"/>
        <w:shd w:val="clear" w:color="auto" w:fill="auto"/>
        <w:bidi w:val="0"/>
        <w:spacing w:before="0" w:after="980" w:line="240" w:lineRule="auto"/>
        <w:ind w:right="0" w:firstLine="0"/>
        <w:jc w:val="left"/>
      </w:pPr>
      <w:r>
        <w:rPr>
          <w:rStyle w:val="CharStyle24"/>
        </w:rPr>
        <w:t xml:space="preserve">Действителен с </w:t>
      </w:r>
      <w:r>
        <w:rPr>
          <w:rStyle w:val="CharStyle24"/>
          <w:color w:val="5C5C5C"/>
        </w:rPr>
        <w:t>21</w:t>
      </w:r>
      <w:r>
        <w:rPr>
          <w:rStyle w:val="CharStyle24"/>
        </w:rPr>
        <w:t>.11</w:t>
      </w:r>
      <w:r>
        <w:rPr>
          <w:rStyle w:val="CharStyle24"/>
          <w:color w:val="5C5C5C"/>
        </w:rPr>
        <w:t>.2025 по 1</w:t>
      </w:r>
      <w:r>
        <w:rPr>
          <w:rStyle w:val="CharStyle24"/>
        </w:rPr>
        <w:t>4.02.2027</w:t>
      </w:r>
    </w:p>
    <w:p>
      <w:pPr>
        <w:pStyle w:val="Style10"/>
        <w:keepNext w:val="0"/>
        <w:keepLines w:val="0"/>
        <w:widowControl w:val="0"/>
        <w:shd w:val="clear" w:color="auto" w:fill="auto"/>
        <w:bidi w:val="0"/>
        <w:spacing w:before="0" w:after="80" w:line="240" w:lineRule="auto"/>
        <w:ind w:left="0" w:right="0" w:firstLine="0"/>
        <w:jc w:val="left"/>
        <w:rPr>
          <w:sz w:val="22"/>
          <w:szCs w:val="22"/>
        </w:rPr>
      </w:pPr>
      <w:r>
        <w:rPr>
          <w:rStyle w:val="CharStyle11"/>
          <w:sz w:val="22"/>
          <w:szCs w:val="22"/>
        </w:rPr>
        <w:t>Исп.Чудинов А.М. тел.8 (342) 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10022840</wp:posOffset>
              </wp:positionV>
              <wp:extent cx="658495" cy="128270"/>
              <wp:wrapNone/>
              <wp:docPr id="9" name="Shape 9"/>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2026-4338</w:t>
                          </w:r>
                        </w:p>
                      </w:txbxContent>
                    </wps:txbx>
                    <wps:bodyPr wrap="none" lIns="0" tIns="0" rIns="0" bIns="0">
                      <a:spAutoFit/>
                    </wps:bodyPr>
                  </wps:wsp>
                </a:graphicData>
              </a:graphic>
            </wp:anchor>
          </w:drawing>
        </mc:Choice>
        <mc:Fallback>
          <w:pict>
            <v:shape id="_x0000_s1035" type="#_x0000_t202" style="position:absolute;margin-left:56.899999999999999pt;margin-top:789.20000000000005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2026-4338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10022840</wp:posOffset>
              </wp:positionV>
              <wp:extent cx="658495" cy="128270"/>
              <wp:wrapNone/>
              <wp:docPr id="11" name="Shape 1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lang w:val="ru-RU" w:eastAsia="ru-RU"/>
                            </w:rPr>
                            <w:t>2026-4338</w:t>
                          </w:r>
                        </w:p>
                      </w:txbxContent>
                    </wps:txbx>
                    <wps:bodyPr wrap="none" lIns="0" tIns="0" rIns="0" bIns="0">
                      <a:spAutoFit/>
                    </wps:bodyPr>
                  </wps:wsp>
                </a:graphicData>
              </a:graphic>
            </wp:anchor>
          </w:drawing>
        </mc:Choice>
        <mc:Fallback>
          <w:pict>
            <v:shape id="_x0000_s1037" type="#_x0000_t202" style="position:absolute;margin-left:57.149999999999999pt;margin-top:789.20000000000005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lang w:val="ru-RU" w:eastAsia="ru-RU"/>
                      </w:rPr>
                      <w:t>2026-4338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1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86197"/>
      <w:sz w:val="19"/>
      <w:szCs w:val="19"/>
      <w:u w:val="none"/>
    </w:rPr>
  </w:style>
  <w:style w:type="character" w:customStyle="1" w:styleId="CharStyle8">
    <w:name w:val="Body text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Heading #2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Header or footer (2)_"/>
    <w:basedOn w:val="DefaultParagraphFont"/>
    <w:link w:val="Style18"/>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44"/>
      <w:szCs w:val="44"/>
      <w:u w:val="none"/>
      <w:lang w:val="en-US" w:eastAsia="en-US"/>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24242"/>
      <w:sz w:val="12"/>
      <w:szCs w:val="12"/>
      <w:u w:val="none"/>
    </w:rPr>
  </w:style>
  <w:style w:type="character" w:customStyle="1" w:styleId="CharStyle29">
    <w:name w:val="Body text (5)_"/>
    <w:basedOn w:val="DefaultParagraphFont"/>
    <w:link w:val="Style28"/>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86197"/>
      <w:sz w:val="16"/>
      <w:szCs w:val="16"/>
      <w:u w:val="none"/>
    </w:rPr>
  </w:style>
  <w:style w:type="paragraph" w:customStyle="1" w:styleId="Style5">
    <w:name w:val="Body text (4)"/>
    <w:basedOn w:val="Normal"/>
    <w:link w:val="CharStyle6"/>
    <w:pPr>
      <w:widowControl w:val="0"/>
      <w:shd w:val="clear" w:color="auto" w:fill="auto"/>
      <w:spacing w:after="170" w:line="254" w:lineRule="auto"/>
      <w:jc w:val="center"/>
    </w:pPr>
    <w:rPr>
      <w:rFonts w:ascii="Times New Roman" w:eastAsia="Times New Roman" w:hAnsi="Times New Roman" w:cs="Times New Roman"/>
      <w:b/>
      <w:bCs/>
      <w:i w:val="0"/>
      <w:iCs w:val="0"/>
      <w:smallCaps w:val="0"/>
      <w:strike w:val="0"/>
      <w:color w:val="486197"/>
      <w:sz w:val="19"/>
      <w:szCs w:val="19"/>
      <w:u w:val="none"/>
    </w:rPr>
  </w:style>
  <w:style w:type="paragraph" w:customStyle="1" w:styleId="Style7">
    <w:name w:val="Body text (6)"/>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Heading #2"/>
    <w:basedOn w:val="Normal"/>
    <w:link w:val="CharStyle17"/>
    <w:pPr>
      <w:widowControl w:val="0"/>
      <w:shd w:val="clear" w:color="auto" w:fill="auto"/>
      <w:ind w:left="470"/>
      <w:outlineLvl w:val="1"/>
    </w:pPr>
    <w:rPr>
      <w:rFonts w:ascii="Times New Roman" w:eastAsia="Times New Roman" w:hAnsi="Times New Roman" w:cs="Times New Roman"/>
      <w:b/>
      <w:bCs/>
      <w:i w:val="0"/>
      <w:iCs w:val="0"/>
      <w:smallCaps w:val="0"/>
      <w:strike w:val="0"/>
      <w:u w:val="none"/>
    </w:rPr>
  </w:style>
  <w:style w:type="paragraph" w:customStyle="1" w:styleId="Style18">
    <w:name w:val="Header or footer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1">
    <w:name w:val="Heading #1"/>
    <w:basedOn w:val="Normal"/>
    <w:link w:val="CharStyle22"/>
    <w:pPr>
      <w:widowControl w:val="0"/>
      <w:shd w:val="clear" w:color="auto" w:fill="auto"/>
      <w:spacing w:after="24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3">
    <w:name w:val="Body text (2)"/>
    <w:basedOn w:val="Normal"/>
    <w:link w:val="CharStyle24"/>
    <w:pPr>
      <w:widowControl w:val="0"/>
      <w:shd w:val="clear" w:color="auto" w:fill="auto"/>
      <w:ind w:left="3220"/>
    </w:pPr>
    <w:rPr>
      <w:rFonts w:ascii="Arial" w:eastAsia="Arial" w:hAnsi="Arial" w:cs="Arial"/>
      <w:b w:val="0"/>
      <w:bCs w:val="0"/>
      <w:i w:val="0"/>
      <w:iCs w:val="0"/>
      <w:smallCaps w:val="0"/>
      <w:strike w:val="0"/>
      <w:color w:val="424242"/>
      <w:sz w:val="12"/>
      <w:szCs w:val="12"/>
      <w:u w:val="none"/>
    </w:rPr>
  </w:style>
  <w:style w:type="paragraph" w:customStyle="1" w:styleId="Style28">
    <w:name w:val="Body text (5)"/>
    <w:basedOn w:val="Normal"/>
    <w:link w:val="CharStyle29"/>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