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rStyle w:val="CharStyle10"/>
        </w:rPr>
        <w:t>ФГБУ ФБ МСЭ Минтруда России</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"mailto:Tselishcheva_EV@fbmse.ru" </w:instrText>
      </w:r>
      <w:r>
        <w:fldChar w:fldCharType="separate"/>
      </w:r>
      <w:r>
        <w:rPr>
          <w:rStyle w:val="CharStyle10"/>
          <w:lang w:val="en-US" w:eastAsia="en-US"/>
        </w:rPr>
        <w:t>Tselishcheva_EV@fbmse.ru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ИП Караваева М.А.</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"mailto:ipkaravaevama@gmail.com" </w:instrText>
      </w:r>
      <w:r>
        <w:fldChar w:fldCharType="separate"/>
      </w:r>
      <w:r>
        <w:rPr>
          <w:rStyle w:val="CharStyle10"/>
          <w:lang w:val="en-US" w:eastAsia="en-US"/>
        </w:rPr>
        <w:t>ipkaravaevama@gmail.com</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РТС-тендер</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391" w:bottom="708" w:left="1135" w:header="0" w:footer="3" w:gutter="0"/>
          <w:pgNumType w:start="1"/>
          <w:cols w:num="2" w:space="1166"/>
          <w:noEndnote/>
          <w:titlePg/>
          <w:rtlGutter w:val="0"/>
          <w:docGrid w:linePitch="360"/>
        </w:sectPr>
      </w:pPr>
      <w:r>
        <w:fldChar w:fldCharType="begin"/>
      </w:r>
      <w:r>
        <w:rPr/>
        <w:instrText> HYPERLINK "mailto:ko@rts-tender.ru" </w:instrText>
      </w:r>
      <w:r>
        <w:fldChar w:fldCharType="separate"/>
      </w:r>
      <w:r>
        <w:rPr>
          <w:rStyle w:val="CharStyle10"/>
          <w:lang w:val="en-US" w:eastAsia="en-US"/>
        </w:rPr>
        <w:t>ko@rts-tender.ru</w:t>
      </w:r>
      <w:r>
        <w:fldChar w:fldCharType="end"/>
      </w:r>
    </w:p>
    <w:p>
      <w:pPr>
        <w:widowControl w:val="0"/>
        <w:spacing w:line="240" w:lineRule="exact"/>
        <w:rPr>
          <w:sz w:val="19"/>
          <w:szCs w:val="19"/>
        </w:rPr>
      </w:pPr>
    </w:p>
    <w:p>
      <w:pPr>
        <w:widowControl w:val="0"/>
        <w:spacing w:before="90" w:after="9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97" w:right="0" w:bottom="782"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885" w:val="left"/>
        </w:tabs>
        <w:bidi w:val="0"/>
        <w:spacing w:before="0" w:after="0" w:line="240" w:lineRule="auto"/>
        <w:ind w:left="0" w:right="0" w:firstLine="0"/>
        <w:jc w:val="center"/>
      </w:pPr>
      <w:r>
        <w:rPr>
          <w:rStyle w:val="CharStyle10"/>
          <w:b/>
          <w:bCs/>
        </w:rPr>
        <w:t>по делу № 077/06/105-5877/2026 о нарушении</w:t>
        <w:br/>
        <w:t>законодательства о контрактной системе</w:t>
        <w:br/>
        <w:t>08.05.2026</w:t>
        <w:tab/>
        <w:t>г. Москва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Председательствующего: главного государственного инспектора отдела обжалования государственных закупок А.А. Кутейникова,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Главного специалиста-эксперта отдела обжалования государственных закупок М.О. Мацневой,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Специалиста-эксперта отдела обжалования государственных закупок А.С. Гелмутдиновой,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ФГБУ ФБ МСЭ Минтруда России: Барановского Ю.Г. (дов.№94/юр-26 от 23.01.2026), Романовой Е.А. (дов.№282/юр-26 от 05.05.2026),</w:t>
      </w:r>
    </w:p>
    <w:p>
      <w:pPr>
        <w:pStyle w:val="Style9"/>
        <w:keepNext w:val="0"/>
        <w:keepLines w:val="0"/>
        <w:widowControl w:val="0"/>
        <w:shd w:val="clear" w:color="auto" w:fill="auto"/>
        <w:bidi w:val="0"/>
        <w:spacing w:before="0" w:after="0" w:line="240" w:lineRule="auto"/>
        <w:ind w:left="0" w:right="0" w:firstLine="700"/>
        <w:jc w:val="both"/>
      </w:pPr>
      <w:r>
        <w:rPr>
          <w:rStyle w:val="CharStyle10"/>
        </w:rPr>
        <w:t>ИП Караваева М.А.: Кокаревой М.В. (дов.№Б/Н от 23.04.2026),</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рассмотрев жалобу ИП Караваева М.А. (далее — Заявитель) на действия ФГБУ ФБ МСЭ Минтруда России (далее - Заказчик) при проведении электронного аукциона на право заключения государственного контракта на поставку товаров (Закупка изделий медицинского назначения) (Закупка № 0373100068726000194)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635000" distB="0" distL="0" distR="0" simplePos="0" relativeHeight="125829378" behindDoc="0" locked="0" layoutInCell="1" allowOverlap="1">
            <wp:simplePos x="0" y="0"/>
            <wp:positionH relativeFrom="page">
              <wp:posOffset>717550</wp:posOffset>
            </wp:positionH>
            <wp:positionV relativeFrom="paragraph">
              <wp:posOffset>635000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28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Московское УФАС России поступила жалоба Заявителя на действия Заказчика при проведении вышеуказанного аукциона.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результате рассмотрения жалоб,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Заявитель обжалует действия Заказчика, выразившиеся в утверждении извещения в нарушение Закона о контрактной системе.</w:t>
      </w:r>
    </w:p>
    <w:p>
      <w:pPr>
        <w:pStyle w:val="Style9"/>
        <w:keepNext w:val="0"/>
        <w:keepLines w:val="0"/>
        <w:widowControl w:val="0"/>
        <w:numPr>
          <w:ilvl w:val="0"/>
          <w:numId w:val="1"/>
        </w:numPr>
        <w:shd w:val="clear" w:color="auto" w:fill="auto"/>
        <w:tabs>
          <w:tab w:pos="1121" w:val="left"/>
        </w:tabs>
        <w:bidi w:val="0"/>
        <w:spacing w:before="0" w:after="0" w:line="240" w:lineRule="auto"/>
        <w:ind w:left="0" w:right="0" w:firstLine="720"/>
        <w:jc w:val="both"/>
      </w:pPr>
      <w:r>
        <w:rPr>
          <w:rStyle w:val="CharStyle10"/>
        </w:rPr>
        <w:t xml:space="preserve">В составе жалобы Заявитель указывает, что установленные Заказчиком требования к характеристикам необходимого к поставке товара, в частности, «Помпа инсулиновая инфузионная амбулаторная со встроенным глюкометром Идентификатор: </w:t>
      </w:r>
      <w:r>
        <w:rPr>
          <w:rStyle w:val="CharStyle10"/>
          <w:lang w:val="en-US" w:eastAsia="en-US"/>
        </w:rPr>
        <w:t xml:space="preserve">212724212» </w:t>
      </w:r>
      <w:r>
        <w:rPr>
          <w:rStyle w:val="CharStyle10"/>
        </w:rPr>
        <w:t xml:space="preserve">ограничивают круг участников закупки, поскольку совокупности установленных требований соответствуют исключительно изделие Помпа инсулиновая </w:t>
      </w:r>
      <w:r>
        <w:rPr>
          <w:rStyle w:val="CharStyle10"/>
          <w:lang w:val="en-US" w:eastAsia="en-US"/>
        </w:rPr>
        <w:t xml:space="preserve">TruCare III, </w:t>
      </w:r>
      <w:r>
        <w:rPr>
          <w:rStyle w:val="CharStyle10"/>
        </w:rPr>
        <w:t xml:space="preserve">производства «Уси Апекс Медикал Ко., Лтд.» (Китай, с номером регистрационного удостоверения РЗН </w:t>
      </w:r>
      <w:r>
        <w:rPr>
          <w:rStyle w:val="CharStyle10"/>
          <w:lang w:val="en-US" w:eastAsia="en-US"/>
        </w:rPr>
        <w:t>2023/21066.</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3"/>
        </w:numPr>
        <w:shd w:val="clear" w:color="auto" w:fill="auto"/>
        <w:tabs>
          <w:tab w:pos="1094" w:val="left"/>
        </w:tabs>
        <w:bidi w:val="0"/>
        <w:spacing w:before="0" w:after="0" w:line="240" w:lineRule="auto"/>
        <w:ind w:left="0" w:right="0" w:firstLine="720"/>
        <w:jc w:val="both"/>
      </w:pPr>
      <w:r>
        <w:rPr>
          <w:rStyle w:val="CharStyle10"/>
        </w:rPr>
        <w:t>сопровождение такого указания словами «или эквивалент»;</w:t>
      </w:r>
    </w:p>
    <w:p>
      <w:pPr>
        <w:pStyle w:val="Style9"/>
        <w:keepNext w:val="0"/>
        <w:keepLines w:val="0"/>
        <w:widowControl w:val="0"/>
        <w:numPr>
          <w:ilvl w:val="0"/>
          <w:numId w:val="3"/>
        </w:numPr>
        <w:shd w:val="clear" w:color="auto" w:fill="auto"/>
        <w:tabs>
          <w:tab w:pos="1121" w:val="left"/>
        </w:tabs>
        <w:bidi w:val="0"/>
        <w:spacing w:before="0" w:after="0" w:line="240" w:lineRule="auto"/>
        <w:ind w:left="0" w:right="0" w:firstLine="720"/>
        <w:jc w:val="both"/>
      </w:pPr>
      <w:r>
        <w:rPr>
          <w:rStyle w:val="CharStyle10"/>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3"/>
        </w:numPr>
        <w:shd w:val="clear" w:color="auto" w:fill="auto"/>
        <w:tabs>
          <w:tab w:pos="1121" w:val="left"/>
        </w:tabs>
        <w:bidi w:val="0"/>
        <w:spacing w:before="0" w:after="0" w:line="240" w:lineRule="auto"/>
        <w:ind w:left="0" w:right="0" w:firstLine="720"/>
        <w:jc w:val="both"/>
      </w:pPr>
      <w:r>
        <w:rPr>
          <w:rStyle w:val="CharStyle10"/>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3"/>
        </w:numPr>
        <w:shd w:val="clear" w:color="auto" w:fill="auto"/>
        <w:tabs>
          <w:tab w:pos="1121" w:val="left"/>
        </w:tabs>
        <w:bidi w:val="0"/>
        <w:spacing w:before="0" w:after="0" w:line="240" w:lineRule="auto"/>
        <w:ind w:left="0" w:right="0" w:firstLine="720"/>
        <w:jc w:val="both"/>
      </w:pPr>
      <w:r>
        <w:rPr>
          <w:rStyle w:val="CharStyle10"/>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w:t>
      </w:r>
    </w:p>
    <w:p>
      <w:pPr>
        <w:pStyle w:val="Style9"/>
        <w:keepNext w:val="0"/>
        <w:keepLines w:val="0"/>
        <w:widowControl w:val="0"/>
        <w:shd w:val="clear" w:color="auto" w:fill="auto"/>
        <w:bidi w:val="0"/>
        <w:spacing w:before="0" w:after="0"/>
        <w:ind w:left="0" w:right="0" w:firstLine="0"/>
        <w:jc w:val="both"/>
      </w:pPr>
      <w:r>
        <w:rPr>
          <w:rStyle w:val="CharStyle10"/>
        </w:rPr>
        <w:t>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ind w:left="0" w:right="0" w:firstLine="740"/>
        <w:jc w:val="both"/>
      </w:pPr>
      <w:r>
        <w:rPr>
          <w:rStyle w:val="CharStyle10"/>
        </w:rPr>
        <w:t xml:space="preserve">Комиссией Управления установлено, что, согласно извещению об осуществлению закупки, Заказчиком закупаются «Инфузионный набор к инсулиновой помпе Идентификатор: </w:t>
      </w:r>
      <w:r>
        <w:rPr>
          <w:rStyle w:val="CharStyle10"/>
          <w:lang w:val="en-US" w:eastAsia="en-US"/>
        </w:rPr>
        <w:t xml:space="preserve">212724211», </w:t>
      </w:r>
      <w:r>
        <w:rPr>
          <w:rStyle w:val="CharStyle10"/>
        </w:rPr>
        <w:t xml:space="preserve">«Помпа инсулиновая инфузионная амбулаторная со встроенным глюкометром Идентификатор: </w:t>
      </w:r>
      <w:r>
        <w:rPr>
          <w:rStyle w:val="CharStyle10"/>
          <w:lang w:val="en-US" w:eastAsia="en-US"/>
        </w:rPr>
        <w:t xml:space="preserve">212724212», </w:t>
      </w:r>
      <w:r>
        <w:rPr>
          <w:rStyle w:val="CharStyle10"/>
        </w:rPr>
        <w:t xml:space="preserve">«Резервуар для инсулиновой инфузионной помпы Идентификатор: </w:t>
      </w:r>
      <w:r>
        <w:rPr>
          <w:rStyle w:val="CharStyle10"/>
          <w:lang w:val="en-US" w:eastAsia="en-US"/>
        </w:rPr>
        <w:t>212724213».</w:t>
      </w:r>
    </w:p>
    <w:p>
      <w:pPr>
        <w:pStyle w:val="Style9"/>
        <w:keepNext w:val="0"/>
        <w:keepLines w:val="0"/>
        <w:widowControl w:val="0"/>
        <w:shd w:val="clear" w:color="auto" w:fill="auto"/>
        <w:bidi w:val="0"/>
        <w:spacing w:before="0" w:after="0"/>
        <w:ind w:left="0" w:right="0" w:firstLine="740"/>
        <w:jc w:val="both"/>
      </w:pPr>
      <w:r>
        <w:rPr>
          <w:rStyle w:val="CharStyle10"/>
        </w:rPr>
        <w:t xml:space="preserve">При этом Заказчиком предъявлены требования к закупаемому товару «Помпа инсулиновая инфузионная амбулаторная со встроенным глюкометром Идентификатор: </w:t>
      </w:r>
      <w:r>
        <w:rPr>
          <w:rStyle w:val="CharStyle10"/>
          <w:lang w:val="en-US" w:eastAsia="en-US"/>
        </w:rPr>
        <w:t xml:space="preserve">212724212», </w:t>
      </w:r>
      <w:r>
        <w:rPr>
          <w:rStyle w:val="CharStyle10"/>
        </w:rPr>
        <w:t xml:space="preserve">в том числе: Размер памяти позволяет хранить истории помпы </w:t>
      </w:r>
      <w:r>
        <w:rPr>
          <w:rStyle w:val="CharStyle10"/>
          <w:lang w:val="en-US" w:eastAsia="en-US"/>
        </w:rPr>
        <w:t xml:space="preserve">≥ 40 </w:t>
      </w:r>
      <w:r>
        <w:rPr>
          <w:rStyle w:val="CharStyle10"/>
        </w:rPr>
        <w:t>Сутки.</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ч. </w:t>
      </w:r>
      <w:r>
        <w:rPr>
          <w:rStyle w:val="CharStyle10"/>
          <w:lang w:val="en-US" w:eastAsia="en-US"/>
        </w:rPr>
        <w:t xml:space="preserve">1 </w:t>
      </w:r>
      <w:r>
        <w:rPr>
          <w:rStyle w:val="CharStyle10"/>
        </w:rPr>
        <w:t xml:space="preserve">ст. </w:t>
      </w:r>
      <w:r>
        <w:rPr>
          <w:rStyle w:val="CharStyle10"/>
          <w:lang w:val="en-US" w:eastAsia="en-US"/>
        </w:rPr>
        <w:t xml:space="preserve">106 </w:t>
      </w:r>
      <w:r>
        <w:rPr>
          <w:rStyle w:val="CharStyle10"/>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ind w:left="0" w:right="0" w:firstLine="740"/>
        <w:jc w:val="both"/>
      </w:pPr>
      <w:r>
        <w:rPr>
          <w:rStyle w:val="CharStyle10"/>
        </w:rPr>
        <w:t xml:space="preserve">Представители Заказчика пояснили, что характеристикам товара, необходимого к закупке «Помпа инсулиновая инфузионная амбулаторная со встроенным глюкометром Идентификатор: </w:t>
      </w:r>
      <w:r>
        <w:rPr>
          <w:rStyle w:val="CharStyle10"/>
          <w:lang w:val="en-US" w:eastAsia="en-US"/>
        </w:rPr>
        <w:t xml:space="preserve">212724212» </w:t>
      </w:r>
      <w:r>
        <w:rPr>
          <w:rStyle w:val="CharStyle10"/>
        </w:rPr>
        <w:t>соответствуют характеристики товаров двух производителей:</w:t>
      </w:r>
    </w:p>
    <w:p>
      <w:pPr>
        <w:pStyle w:val="Style9"/>
        <w:keepNext w:val="0"/>
        <w:keepLines w:val="0"/>
        <w:widowControl w:val="0"/>
        <w:numPr>
          <w:ilvl w:val="0"/>
          <w:numId w:val="3"/>
        </w:numPr>
        <w:shd w:val="clear" w:color="auto" w:fill="auto"/>
        <w:tabs>
          <w:tab w:pos="968" w:val="left"/>
        </w:tabs>
        <w:bidi w:val="0"/>
        <w:spacing w:before="0" w:after="0"/>
        <w:ind w:left="0" w:right="0" w:firstLine="740"/>
        <w:jc w:val="both"/>
      </w:pPr>
      <w:r>
        <w:rPr>
          <w:rStyle w:val="CharStyle10"/>
        </w:rPr>
        <w:t xml:space="preserve">«Помпа инсулиновая </w:t>
      </w:r>
      <w:r>
        <w:rPr>
          <w:rStyle w:val="CharStyle10"/>
          <w:lang w:val="en-US" w:eastAsia="en-US"/>
        </w:rPr>
        <w:t xml:space="preserve">TruCare III», </w:t>
      </w:r>
      <w:r>
        <w:rPr>
          <w:rStyle w:val="CharStyle10"/>
        </w:rPr>
        <w:t xml:space="preserve">производителя «Апекс Медикал Ко., Лтд.», Китай, (регистрационное удостоверение РЗН </w:t>
      </w:r>
      <w:r>
        <w:rPr>
          <w:rStyle w:val="CharStyle10"/>
          <w:lang w:val="en-US" w:eastAsia="en-US"/>
        </w:rPr>
        <w:t xml:space="preserve">2023/21066 </w:t>
      </w:r>
      <w:r>
        <w:rPr>
          <w:rStyle w:val="CharStyle10"/>
        </w:rPr>
        <w:t xml:space="preserve">от </w:t>
      </w:r>
      <w:r>
        <w:rPr>
          <w:rStyle w:val="CharStyle10"/>
          <w:lang w:val="en-US" w:eastAsia="en-US"/>
        </w:rPr>
        <w:t xml:space="preserve">07.03.2026 </w:t>
      </w:r>
      <w:r>
        <w:rPr>
          <w:rStyle w:val="CharStyle10"/>
        </w:rPr>
        <w:t>г.);</w:t>
      </w:r>
    </w:p>
    <w:p>
      <w:pPr>
        <w:pStyle w:val="Style9"/>
        <w:keepNext w:val="0"/>
        <w:keepLines w:val="0"/>
        <w:widowControl w:val="0"/>
        <w:numPr>
          <w:ilvl w:val="0"/>
          <w:numId w:val="3"/>
        </w:numPr>
        <w:shd w:val="clear" w:color="auto" w:fill="auto"/>
        <w:tabs>
          <w:tab w:pos="968" w:val="left"/>
        </w:tabs>
        <w:bidi w:val="0"/>
        <w:spacing w:before="0" w:after="0"/>
        <w:ind w:left="0" w:right="0" w:firstLine="740"/>
        <w:jc w:val="both"/>
      </w:pPr>
      <w:r>
        <w:rPr>
          <w:rStyle w:val="CharStyle10"/>
        </w:rPr>
        <w:t xml:space="preserve">«Помпа инсулиновая </w:t>
      </w:r>
      <w:r>
        <w:rPr>
          <w:rStyle w:val="CharStyle10"/>
          <w:lang w:val="en-US" w:eastAsia="en-US"/>
        </w:rPr>
        <w:t xml:space="preserve">MiniMed Paradigm VEO </w:t>
      </w:r>
      <w:r>
        <w:rPr>
          <w:rStyle w:val="CharStyle10"/>
        </w:rPr>
        <w:t xml:space="preserve">с системой постоянного мониторирования глюкозы», производителя «Медтроник МиниМед», США (регистрационное удостоверение ФСЗ </w:t>
      </w:r>
      <w:r>
        <w:rPr>
          <w:rStyle w:val="CharStyle10"/>
          <w:lang w:val="en-US" w:eastAsia="en-US"/>
        </w:rPr>
        <w:t xml:space="preserve">2010/06831 </w:t>
      </w:r>
      <w:r>
        <w:rPr>
          <w:rStyle w:val="CharStyle10"/>
        </w:rPr>
        <w:t xml:space="preserve">от </w:t>
      </w:r>
      <w:r>
        <w:rPr>
          <w:rStyle w:val="CharStyle10"/>
          <w:lang w:val="en-US" w:eastAsia="en-US"/>
        </w:rPr>
        <w:t xml:space="preserve">13.05.2021 </w:t>
      </w:r>
      <w:r>
        <w:rPr>
          <w:rStyle w:val="CharStyle10"/>
        </w:rPr>
        <w:t>г.).</w:t>
      </w:r>
    </w:p>
    <w:p>
      <w:pPr>
        <w:pStyle w:val="Style9"/>
        <w:keepNext w:val="0"/>
        <w:keepLines w:val="0"/>
        <w:widowControl w:val="0"/>
        <w:shd w:val="clear" w:color="auto" w:fill="auto"/>
        <w:bidi w:val="0"/>
        <w:spacing w:before="0" w:after="0"/>
        <w:ind w:left="0" w:right="0" w:firstLine="740"/>
        <w:jc w:val="both"/>
      </w:pPr>
      <w:r>
        <w:rPr>
          <w:rStyle w:val="CharStyle10"/>
        </w:rPr>
        <w:t>В обосновании своей позиции представители Заказчика представили:</w:t>
      </w:r>
    </w:p>
    <w:p>
      <w:pPr>
        <w:pStyle w:val="Style9"/>
        <w:keepNext w:val="0"/>
        <w:keepLines w:val="0"/>
        <w:widowControl w:val="0"/>
        <w:numPr>
          <w:ilvl w:val="0"/>
          <w:numId w:val="3"/>
        </w:numPr>
        <w:shd w:val="clear" w:color="auto" w:fill="auto"/>
        <w:tabs>
          <w:tab w:pos="1042" w:val="left"/>
        </w:tabs>
        <w:bidi w:val="0"/>
        <w:spacing w:before="0" w:after="0"/>
        <w:ind w:left="0" w:right="0" w:firstLine="740"/>
        <w:jc w:val="both"/>
      </w:pPr>
      <w:r>
        <w:rPr>
          <w:rStyle w:val="CharStyle10"/>
        </w:rPr>
        <w:t xml:space="preserve">Руководство пользователя на изделие «Помпа инсулиновая </w:t>
      </w:r>
      <w:r>
        <w:rPr>
          <w:rStyle w:val="CharStyle10"/>
          <w:lang w:val="en-US" w:eastAsia="en-US"/>
        </w:rPr>
        <w:t>TruCare III»</w:t>
      </w:r>
    </w:p>
    <w:p>
      <w:pPr>
        <w:pStyle w:val="Style9"/>
        <w:keepNext w:val="0"/>
        <w:keepLines w:val="0"/>
        <w:widowControl w:val="0"/>
        <w:numPr>
          <w:ilvl w:val="0"/>
          <w:numId w:val="3"/>
        </w:numPr>
        <w:shd w:val="clear" w:color="auto" w:fill="auto"/>
        <w:tabs>
          <w:tab w:pos="969" w:val="left"/>
        </w:tabs>
        <w:bidi w:val="0"/>
        <w:spacing w:before="0" w:after="0"/>
        <w:ind w:left="0" w:right="0" w:firstLine="740"/>
        <w:jc w:val="both"/>
      </w:pPr>
      <w:r>
        <w:rPr>
          <w:rStyle w:val="CharStyle10"/>
        </w:rPr>
        <w:t xml:space="preserve">Руководство пользователя на изделие «Помпа инсулиновая </w:t>
      </w:r>
      <w:r>
        <w:rPr>
          <w:rStyle w:val="CharStyle10"/>
          <w:lang w:val="en-US" w:eastAsia="en-US"/>
        </w:rPr>
        <w:t xml:space="preserve">MiniMed Paradigm VEO </w:t>
      </w:r>
      <w:r>
        <w:rPr>
          <w:rStyle w:val="CharStyle10"/>
        </w:rPr>
        <w:t>с системой постоянного мониторирования глюкозы».</w:t>
      </w:r>
    </w:p>
    <w:p>
      <w:pPr>
        <w:pStyle w:val="Style9"/>
        <w:keepNext w:val="0"/>
        <w:keepLines w:val="0"/>
        <w:widowControl w:val="0"/>
        <w:shd w:val="clear" w:color="auto" w:fill="auto"/>
        <w:bidi w:val="0"/>
        <w:spacing w:before="0" w:after="0"/>
        <w:ind w:left="0" w:right="0" w:firstLine="740"/>
        <w:jc w:val="both"/>
      </w:pPr>
      <w:r>
        <w:rPr>
          <w:rStyle w:val="CharStyle10"/>
        </w:rPr>
        <w:t xml:space="preserve">Однако, Комиссией Управления установлено, что в руководстве пользователя на изделие «Помпа инсулиновая </w:t>
      </w:r>
      <w:r>
        <w:rPr>
          <w:rStyle w:val="CharStyle10"/>
          <w:lang w:val="en-US" w:eastAsia="en-US"/>
        </w:rPr>
        <w:t xml:space="preserve">MiniMed Paradigm VEO </w:t>
      </w:r>
      <w:r>
        <w:rPr>
          <w:rStyle w:val="CharStyle10"/>
        </w:rPr>
        <w:t xml:space="preserve">с системой постоянного мониторирования глюкозы» на странице </w:t>
      </w:r>
      <w:r>
        <w:rPr>
          <w:rStyle w:val="CharStyle10"/>
          <w:lang w:val="en-US" w:eastAsia="en-US"/>
        </w:rPr>
        <w:t xml:space="preserve">172 </w:t>
      </w:r>
      <w:r>
        <w:rPr>
          <w:rStyle w:val="CharStyle10"/>
        </w:rPr>
        <w:t xml:space="preserve">указано следующее: </w:t>
      </w:r>
      <w:r>
        <w:rPr>
          <w:rStyle w:val="CharStyle10"/>
          <w:i/>
          <w:iCs/>
        </w:rPr>
        <w:t xml:space="preserve">функция управления данными попмы позволяет Вам и лечащему врачу просматривать и вести учет дозы введенного базального и болюсного инсулина, приемах пищи и средние значения уровней ГК по данным глюкометра и сенсора, а также данных ППК. Можно просматривать подробные сведения о каждом дне или усредненные данные за указанное количество дней </w:t>
      </w:r>
      <w:r>
        <w:rPr>
          <w:rStyle w:val="CharStyle10"/>
          <w:i/>
          <w:iCs/>
          <w:lang w:val="en-US" w:eastAsia="en-US"/>
        </w:rPr>
        <w:t xml:space="preserve">( </w:t>
      </w:r>
      <w:r>
        <w:rPr>
          <w:rStyle w:val="CharStyle10"/>
          <w:i/>
          <w:iCs/>
        </w:rPr>
        <w:t xml:space="preserve">до </w:t>
      </w:r>
      <w:r>
        <w:rPr>
          <w:rStyle w:val="CharStyle10"/>
          <w:i/>
          <w:iCs/>
          <w:lang w:val="en-US" w:eastAsia="en-US"/>
        </w:rPr>
        <w:t xml:space="preserve">32 </w:t>
      </w:r>
      <w:r>
        <w:rPr>
          <w:rStyle w:val="CharStyle10"/>
          <w:i/>
          <w:iCs/>
        </w:rPr>
        <w:t>дней)»,</w:t>
      </w:r>
      <w:r>
        <w:rPr>
          <w:rStyle w:val="CharStyle10"/>
        </w:rPr>
        <w:t xml:space="preserve"> в то время как Заказчиком в извещении о закупке установлена характеристика к медицинскому изделию «Помпа инсулиновая инфузионная амбулаторная со встроенным глюкометром Идентификатор: </w:t>
      </w:r>
      <w:r>
        <w:rPr>
          <w:rStyle w:val="CharStyle10"/>
          <w:lang w:val="en-US" w:eastAsia="en-US"/>
        </w:rPr>
        <w:t xml:space="preserve">212724212», «1.11 </w:t>
      </w:r>
      <w:r>
        <w:rPr>
          <w:rStyle w:val="CharStyle10"/>
        </w:rPr>
        <w:t xml:space="preserve">Размер памяти позволяет хранить истории </w:t>
      </w:r>
      <w:r>
        <w:rPr>
          <w:rStyle w:val="CharStyle10"/>
          <w:lang w:val="en-US" w:eastAsia="en-US"/>
        </w:rPr>
        <w:t xml:space="preserve">помп:≥ 40 </w:t>
      </w:r>
      <w:r>
        <w:rPr>
          <w:rStyle w:val="CharStyle10"/>
        </w:rPr>
        <w:t>Сутки».</w:t>
      </w:r>
    </w:p>
    <w:p>
      <w:pPr>
        <w:pStyle w:val="Style9"/>
        <w:keepNext w:val="0"/>
        <w:keepLines w:val="0"/>
        <w:widowControl w:val="0"/>
        <w:shd w:val="clear" w:color="auto" w:fill="auto"/>
        <w:bidi w:val="0"/>
        <w:spacing w:before="0" w:after="0"/>
        <w:ind w:left="0" w:right="0" w:firstLine="740"/>
        <w:jc w:val="both"/>
      </w:pPr>
      <w:r>
        <w:rPr>
          <w:rStyle w:val="CharStyle10"/>
        </w:rPr>
        <w:t>Ввиду чего Комиссия Управления приходит к выводу, что по медицинскому изделию «Помпа инсулиновая инфузионная амбулаторная со встроенным</w:t>
      </w:r>
    </w:p>
    <w:p>
      <w:pPr>
        <w:pStyle w:val="Style9"/>
        <w:keepNext w:val="0"/>
        <w:keepLines w:val="0"/>
        <w:widowControl w:val="0"/>
        <w:shd w:val="clear" w:color="auto" w:fill="auto"/>
        <w:bidi w:val="0"/>
        <w:spacing w:before="0" w:after="0"/>
        <w:ind w:left="0" w:right="0" w:firstLine="0"/>
        <w:jc w:val="both"/>
      </w:pPr>
      <w:r>
        <w:rPr>
          <w:rStyle w:val="CharStyle10"/>
        </w:rPr>
        <w:t xml:space="preserve">глюкометром Идентификатор: </w:t>
      </w:r>
      <w:r>
        <w:rPr>
          <w:rStyle w:val="CharStyle10"/>
          <w:lang w:val="en-US" w:eastAsia="en-US"/>
        </w:rPr>
        <w:t xml:space="preserve">212724212» </w:t>
      </w:r>
      <w:r>
        <w:rPr>
          <w:rStyle w:val="CharStyle10"/>
        </w:rPr>
        <w:t xml:space="preserve">представляется возможным предложить к поставке исключительно изделие Помпа инсулиновая </w:t>
      </w:r>
      <w:r>
        <w:rPr>
          <w:rStyle w:val="CharStyle10"/>
          <w:lang w:val="en-US" w:eastAsia="en-US"/>
        </w:rPr>
        <w:t xml:space="preserve">TruCare III, </w:t>
      </w:r>
      <w:r>
        <w:rPr>
          <w:rStyle w:val="CharStyle10"/>
        </w:rPr>
        <w:t xml:space="preserve">производства «Апекс Медикал Ко., Лтд.» (Китай, с номером регистрационного удостоверения РЗН </w:t>
      </w:r>
      <w:r>
        <w:rPr>
          <w:rStyle w:val="CharStyle10"/>
          <w:lang w:val="en-US" w:eastAsia="en-US"/>
        </w:rPr>
        <w:t xml:space="preserve">2023/21066, </w:t>
      </w:r>
      <w:r>
        <w:rPr>
          <w:rStyle w:val="CharStyle10"/>
        </w:rPr>
        <w:t>что приводит к невозможности формирования предложения с товаром иного производителя.</w:t>
      </w:r>
    </w:p>
    <w:p>
      <w:pPr>
        <w:pStyle w:val="Style9"/>
        <w:keepNext w:val="0"/>
        <w:keepLines w:val="0"/>
        <w:widowControl w:val="0"/>
        <w:shd w:val="clear" w:color="auto" w:fill="auto"/>
        <w:bidi w:val="0"/>
        <w:spacing w:before="0" w:after="0"/>
        <w:ind w:left="0" w:right="0" w:firstLine="720"/>
        <w:jc w:val="both"/>
      </w:pPr>
      <w:r>
        <w:rPr>
          <w:rStyle w:val="CharStyle10"/>
        </w:rPr>
        <w:t>Комиссия Управления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отсутствующие в свободном доступе, в том числе для приобретения которых необходимо заключать определенные договоры и соглашения с производителем оборудования.</w:t>
      </w:r>
    </w:p>
    <w:p>
      <w:pPr>
        <w:pStyle w:val="Style9"/>
        <w:keepNext w:val="0"/>
        <w:keepLines w:val="0"/>
        <w:widowControl w:val="0"/>
        <w:shd w:val="clear" w:color="auto" w:fill="auto"/>
        <w:bidi w:val="0"/>
        <w:spacing w:before="0" w:after="0"/>
        <w:ind w:left="0" w:right="0" w:firstLine="720"/>
        <w:jc w:val="both"/>
      </w:pPr>
      <w:r>
        <w:rPr>
          <w:rStyle w:val="CharStyle10"/>
        </w:rPr>
        <w:t>Кроме того, Комиссия Управления отмечает, что обязанность по формированию описание объекта закупки в соответствии с положениями ст.33 Закона о контрактной системе возложена на государственного Заказчика, ввиду чего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 при этом не ограничивая круг участников закупочной процедуры.</w:t>
      </w:r>
    </w:p>
    <w:p>
      <w:pPr>
        <w:pStyle w:val="Style9"/>
        <w:keepNext w:val="0"/>
        <w:keepLines w:val="0"/>
        <w:widowControl w:val="0"/>
        <w:shd w:val="clear" w:color="auto" w:fill="auto"/>
        <w:bidi w:val="0"/>
        <w:spacing w:before="0" w:after="0"/>
        <w:ind w:left="0" w:right="0" w:firstLine="720"/>
        <w:jc w:val="both"/>
      </w:pPr>
      <w:r>
        <w:rPr>
          <w:rStyle w:val="CharStyle10"/>
        </w:rPr>
        <w:t>Вместе с тем Комиссия Управления отмечает, что при наличии у Заказчика обоснованной потребности в поставке именно таких товаров конкретного производителя, характеристики которых указаны в Техническом задании, Заказчику необходимо определить каким образом требуемый товар наилучшим образом удовлетворяет потребности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w:t>
      </w:r>
    </w:p>
    <w:p>
      <w:pPr>
        <w:pStyle w:val="Style9"/>
        <w:keepNext w:val="0"/>
        <w:keepLines w:val="0"/>
        <w:widowControl w:val="0"/>
        <w:shd w:val="clear" w:color="auto" w:fill="auto"/>
        <w:bidi w:val="0"/>
        <w:spacing w:before="0" w:after="0"/>
        <w:ind w:left="0" w:right="0" w:firstLine="720"/>
        <w:jc w:val="both"/>
      </w:pPr>
      <w:r>
        <w:rPr>
          <w:rStyle w:val="CharStyle10"/>
        </w:rPr>
        <w:t xml:space="preserve">Комиссия Управления также отмечает, что,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10"/>
          <w:lang w:val="en-US" w:eastAsia="en-US"/>
        </w:rPr>
        <w:t xml:space="preserve">- </w:t>
      </w:r>
      <w:r>
        <w:rPr>
          <w:rStyle w:val="CharStyle10"/>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9"/>
        <w:keepNext w:val="0"/>
        <w:keepLines w:val="0"/>
        <w:widowControl w:val="0"/>
        <w:shd w:val="clear" w:color="auto" w:fill="auto"/>
        <w:bidi w:val="0"/>
        <w:spacing w:before="0" w:after="0"/>
        <w:ind w:left="0" w:right="0" w:firstLine="720"/>
        <w:jc w:val="both"/>
      </w:pPr>
      <w:r>
        <w:rPr>
          <w:rStyle w:val="CharStyle10"/>
        </w:rPr>
        <w:t xml:space="preserve">Таким образом в рамках рассмотрения данной жалобы представителем Заказчика также не представлено документов и сведений, подтверждающих, что в данном случае применимы условия отраженные в пп.«б» </w:t>
      </w:r>
      <w:r>
        <w:rPr>
          <w:rStyle w:val="CharStyle10"/>
          <w:lang w:val="en-US" w:eastAsia="en-US"/>
        </w:rPr>
        <w:t xml:space="preserve">- </w:t>
      </w:r>
      <w:r>
        <w:rPr>
          <w:rStyle w:val="CharStyle10"/>
        </w:rPr>
        <w:t>«г» п.1 ч.1 ст.33 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 xml:space="preserve">На основании вышеизложенного, Комиссия Управления приходит к выводу о признании данного довода жалобы обоснованным и о нарушении Заказчиком п.1 ч.1 ст.33 Закона о контрактной системе и содержат признаки состава административного правонарушения, предусмотренного ч. </w:t>
      </w:r>
      <w:r>
        <w:rPr>
          <w:rStyle w:val="CharStyle10"/>
          <w:lang w:val="en-US" w:eastAsia="en-US"/>
        </w:rPr>
        <w:t xml:space="preserve">6 </w:t>
      </w:r>
      <w:r>
        <w:rPr>
          <w:rStyle w:val="CharStyle10"/>
        </w:rPr>
        <w:t xml:space="preserve">ст. </w:t>
      </w:r>
      <w:r>
        <w:rPr>
          <w:rStyle w:val="CharStyle10"/>
          <w:lang w:val="en-US" w:eastAsia="en-US"/>
        </w:rPr>
        <w:t xml:space="preserve">7.30.1 </w:t>
      </w:r>
      <w:r>
        <w:rPr>
          <w:rStyle w:val="CharStyle10"/>
        </w:rPr>
        <w:t>Кодекса Российской Федерации об административных правонарушениях.</w:t>
      </w:r>
    </w:p>
    <w:p>
      <w:pPr>
        <w:pStyle w:val="Style9"/>
        <w:keepNext w:val="0"/>
        <w:keepLines w:val="0"/>
        <w:widowControl w:val="0"/>
        <w:numPr>
          <w:ilvl w:val="0"/>
          <w:numId w:val="1"/>
        </w:numPr>
        <w:shd w:val="clear" w:color="auto" w:fill="auto"/>
        <w:tabs>
          <w:tab w:pos="1090" w:val="left"/>
        </w:tabs>
        <w:bidi w:val="0"/>
        <w:spacing w:before="0" w:after="0" w:line="254" w:lineRule="auto"/>
        <w:ind w:left="0" w:right="0" w:firstLine="720"/>
        <w:jc w:val="both"/>
      </w:pPr>
      <w:r>
        <w:rPr>
          <w:rStyle w:val="CharStyle10"/>
        </w:rPr>
        <w:t>В составе жалобы Заявитель также указывает, что описание объекта закупки сформировано в нарушение ч.1.1 ст.33 Закона о контрактной системе, так как совокупности требований извещения неправомерно не соответствуют изделия российского происхождения.</w:t>
      </w:r>
    </w:p>
    <w:p>
      <w:pPr>
        <w:pStyle w:val="Style9"/>
        <w:keepNext w:val="0"/>
        <w:keepLines w:val="0"/>
        <w:widowControl w:val="0"/>
        <w:shd w:val="clear" w:color="auto" w:fill="auto"/>
        <w:bidi w:val="0"/>
        <w:spacing w:before="0" w:after="0" w:line="254" w:lineRule="auto"/>
        <w:ind w:left="0" w:right="0" w:firstLine="720"/>
        <w:jc w:val="both"/>
      </w:pPr>
      <w:r>
        <w:rPr>
          <w:rStyle w:val="CharStyle10"/>
        </w:rPr>
        <w:t>В силу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п.1 ч.2 ст.14 Закона о контрактной системе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line="254" w:lineRule="auto"/>
        <w:ind w:left="0" w:right="0" w:firstLine="720"/>
        <w:jc w:val="both"/>
      </w:pPr>
      <w:r>
        <w:rPr>
          <w:rStyle w:val="CharStyle10"/>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0"/>
          <w:lang w:val="en-US" w:eastAsia="en-US"/>
        </w:rPr>
        <w:t xml:space="preserve">- </w:t>
      </w:r>
      <w:r>
        <w:rPr>
          <w:rStyle w:val="CharStyle10"/>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0"/>
          <w:lang w:val="en-US" w:eastAsia="en-US"/>
        </w:rPr>
        <w:t xml:space="preserve">- </w:t>
      </w:r>
      <w:r>
        <w:rPr>
          <w:rStyle w:val="CharStyle10"/>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0"/>
          <w:lang w:val="en-US" w:eastAsia="en-US"/>
        </w:rPr>
        <w:t xml:space="preserve">- </w:t>
      </w:r>
      <w:r>
        <w:rPr>
          <w:rStyle w:val="CharStyle10"/>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9"/>
        <w:keepNext w:val="0"/>
        <w:keepLines w:val="0"/>
        <w:widowControl w:val="0"/>
        <w:shd w:val="clear" w:color="auto" w:fill="auto"/>
        <w:bidi w:val="0"/>
        <w:spacing w:before="0" w:after="0" w:line="254" w:lineRule="auto"/>
        <w:ind w:left="0" w:right="0" w:firstLine="720"/>
        <w:jc w:val="both"/>
      </w:pPr>
      <w:r>
        <w:rPr>
          <w:rStyle w:val="CharStyle10"/>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9"/>
        <w:keepNext w:val="0"/>
        <w:keepLines w:val="0"/>
        <w:widowControl w:val="0"/>
        <w:numPr>
          <w:ilvl w:val="0"/>
          <w:numId w:val="5"/>
        </w:numPr>
        <w:shd w:val="clear" w:color="auto" w:fill="auto"/>
        <w:tabs>
          <w:tab w:pos="1421" w:val="left"/>
        </w:tabs>
        <w:bidi w:val="0"/>
        <w:spacing w:before="0" w:after="0" w:line="254" w:lineRule="auto"/>
        <w:ind w:left="0" w:right="0" w:firstLine="720"/>
        <w:jc w:val="both"/>
      </w:pPr>
      <w:r>
        <w:rPr>
          <w:rStyle w:val="CharStyle1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5"/>
        </w:numPr>
        <w:shd w:val="clear" w:color="auto" w:fill="auto"/>
        <w:tabs>
          <w:tab w:pos="1421" w:val="left"/>
        </w:tabs>
        <w:bidi w:val="0"/>
        <w:spacing w:before="0" w:after="0" w:line="254" w:lineRule="auto"/>
        <w:ind w:left="0" w:right="0" w:firstLine="720"/>
        <w:jc w:val="both"/>
        <w:sectPr>
          <w:footnotePr>
            <w:pos w:val="pageBottom"/>
            <w:numFmt w:val="decimal"/>
            <w:numRestart w:val="continuous"/>
          </w:footnotePr>
          <w:type w:val="continuous"/>
          <w:pgSz w:w="11900" w:h="16840"/>
          <w:pgMar w:top="597" w:right="532" w:bottom="782" w:left="1092" w:header="0" w:footer="3" w:gutter="0"/>
          <w:cols w:space="720"/>
          <w:noEndnote/>
          <w:rtlGutter w:val="0"/>
          <w:docGrid w:linePitch="360"/>
        </w:sectPr>
      </w:pPr>
      <w:r>
        <w:rPr>
          <w:rStyle w:val="CharStyle10"/>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5"/>
        </w:numPr>
        <w:shd w:val="clear" w:color="auto" w:fill="auto"/>
        <w:tabs>
          <w:tab w:pos="1424" w:val="left"/>
        </w:tabs>
        <w:bidi w:val="0"/>
        <w:spacing w:before="0" w:after="0"/>
        <w:ind w:left="0" w:right="0" w:firstLine="72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9"/>
        <w:keepNext w:val="0"/>
        <w:keepLines w:val="0"/>
        <w:widowControl w:val="0"/>
        <w:shd w:val="clear" w:color="auto" w:fill="auto"/>
        <w:bidi w:val="0"/>
        <w:spacing w:before="0" w:after="0"/>
        <w:ind w:left="0" w:right="0" w:firstLine="720"/>
        <w:jc w:val="both"/>
      </w:pPr>
      <w:r>
        <w:rPr>
          <w:rStyle w:val="CharStyle10"/>
        </w:rPr>
        <w:t xml:space="preserve">П.1 Постановления Правительства РФ от </w:t>
      </w:r>
      <w:r>
        <w:rPr>
          <w:rStyle w:val="CharStyle10"/>
          <w:lang w:val="en-US" w:eastAsia="en-US"/>
        </w:rPr>
        <w:t xml:space="preserve">23.12.2024 №1875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 1875) </w:t>
      </w:r>
      <w:r>
        <w:rPr>
          <w:rStyle w:val="CharStyle10"/>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9"/>
        <w:keepNext w:val="0"/>
        <w:keepLines w:val="0"/>
        <w:widowControl w:val="0"/>
        <w:numPr>
          <w:ilvl w:val="0"/>
          <w:numId w:val="7"/>
        </w:numPr>
        <w:shd w:val="clear" w:color="auto" w:fill="auto"/>
        <w:tabs>
          <w:tab w:pos="1424" w:val="left"/>
        </w:tabs>
        <w:bidi w:val="0"/>
        <w:spacing w:before="0" w:after="0"/>
        <w:ind w:left="0" w:right="0" w:firstLine="720"/>
        <w:jc w:val="both"/>
      </w:pPr>
      <w:r>
        <w:rPr>
          <w:rStyle w:val="CharStyle10"/>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0"/>
          <w:lang w:val="en-US" w:eastAsia="en-US"/>
        </w:rPr>
        <w:t xml:space="preserve">- </w:t>
      </w:r>
      <w:r>
        <w:rPr>
          <w:rStyle w:val="CharStyle10"/>
        </w:rPr>
        <w:t xml:space="preserve">иностранные лица), по перечню согласно приложению </w:t>
      </w:r>
      <w:r>
        <w:rPr>
          <w:rStyle w:val="CharStyle10"/>
          <w:lang w:val="en-US" w:eastAsia="en-US"/>
        </w:rPr>
        <w:t xml:space="preserve">№1, </w:t>
      </w:r>
      <w:r>
        <w:rPr>
          <w:rStyle w:val="CharStyle10"/>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7"/>
        </w:numPr>
        <w:shd w:val="clear" w:color="auto" w:fill="auto"/>
        <w:tabs>
          <w:tab w:pos="1424" w:val="left"/>
        </w:tabs>
        <w:bidi w:val="0"/>
        <w:spacing w:before="0" w:after="0"/>
        <w:ind w:left="0" w:right="0" w:firstLine="720"/>
        <w:jc w:val="both"/>
      </w:pPr>
      <w:r>
        <w:rPr>
          <w:rStyle w:val="CharStyle10"/>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0"/>
          <w:lang w:val="en-US" w:eastAsia="en-US"/>
        </w:rPr>
        <w:t>№2;</w:t>
      </w:r>
    </w:p>
    <w:p>
      <w:pPr>
        <w:pStyle w:val="Style9"/>
        <w:keepNext w:val="0"/>
        <w:keepLines w:val="0"/>
        <w:widowControl w:val="0"/>
        <w:numPr>
          <w:ilvl w:val="0"/>
          <w:numId w:val="7"/>
        </w:numPr>
        <w:shd w:val="clear" w:color="auto" w:fill="auto"/>
        <w:tabs>
          <w:tab w:pos="1424" w:val="left"/>
        </w:tabs>
        <w:bidi w:val="0"/>
        <w:spacing w:before="0" w:after="0"/>
        <w:ind w:left="0" w:right="0" w:firstLine="72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9"/>
        <w:keepNext w:val="0"/>
        <w:keepLines w:val="0"/>
        <w:widowControl w:val="0"/>
        <w:shd w:val="clear" w:color="auto" w:fill="auto"/>
        <w:bidi w:val="0"/>
        <w:spacing w:before="0" w:after="0"/>
        <w:ind w:left="0" w:right="0" w:firstLine="720"/>
        <w:jc w:val="both"/>
      </w:pPr>
      <w:r>
        <w:rPr>
          <w:rStyle w:val="CharStyle10"/>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9"/>
        <w:keepNext w:val="0"/>
        <w:keepLines w:val="0"/>
        <w:widowControl w:val="0"/>
        <w:shd w:val="clear" w:color="auto" w:fill="auto"/>
        <w:bidi w:val="0"/>
        <w:spacing w:before="0" w:after="0" w:line="290"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162" w:right="541" w:bottom="658" w:left="1101" w:header="0" w:footer="230" w:gutter="0"/>
          <w:cols w:space="720"/>
          <w:noEndnote/>
          <w:rtlGutter w:val="0"/>
          <w:docGrid w:linePitch="360"/>
        </w:sectPr>
      </w:pPr>
      <w:r>
        <w:rPr>
          <w:rStyle w:val="CharStyle10"/>
        </w:rPr>
        <w:t xml:space="preserve">Комиссией Управления установлено, что в извещении об осуществлении закупки в отношении закупаемых изделий медицинского назначения Заказчиком </w:t>
      </w:r>
      <w:r>
        <w:rPr>
          <w:rStyle w:val="CharStyle10"/>
          <w:sz w:val="24"/>
          <w:szCs w:val="24"/>
          <w:lang w:val="en-US" w:eastAsia="en-US"/>
        </w:rPr>
        <w:t>2026-23636</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установлено преимущество, предусмотренное п.1 Постановления </w:t>
      </w:r>
      <w:r>
        <w:rPr>
          <w:rStyle w:val="CharStyle10"/>
          <w:lang w:val="en-US" w:eastAsia="en-US"/>
        </w:rPr>
        <w:t>№1875.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Вместе с тем пп. «а» п. </w:t>
      </w:r>
      <w:r>
        <w:rPr>
          <w:rStyle w:val="CharStyle10"/>
          <w:lang w:val="en-US" w:eastAsia="en-US"/>
        </w:rPr>
        <w:t xml:space="preserve">7 </w:t>
      </w:r>
      <w:r>
        <w:rPr>
          <w:rStyle w:val="CharStyle10"/>
        </w:rPr>
        <w:t xml:space="preserve">Постановления </w:t>
      </w:r>
      <w:r>
        <w:rPr>
          <w:rStyle w:val="CharStyle10"/>
          <w:lang w:val="en-US" w:eastAsia="en-US"/>
        </w:rPr>
        <w:t xml:space="preserve">№ 1875 </w:t>
      </w:r>
      <w:r>
        <w:rPr>
          <w:rStyle w:val="CharStyle10"/>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9"/>
        <w:keepNext w:val="0"/>
        <w:keepLines w:val="0"/>
        <w:widowControl w:val="0"/>
        <w:numPr>
          <w:ilvl w:val="0"/>
          <w:numId w:val="7"/>
        </w:numPr>
        <w:shd w:val="clear" w:color="auto" w:fill="auto"/>
        <w:tabs>
          <w:tab w:pos="2146" w:val="left"/>
        </w:tabs>
        <w:bidi w:val="0"/>
        <w:spacing w:before="0" w:after="0" w:line="240" w:lineRule="auto"/>
        <w:ind w:left="0" w:right="0" w:firstLine="720"/>
        <w:jc w:val="both"/>
      </w:pPr>
      <w:r>
        <w:rPr>
          <w:rStyle w:val="CharStyle10"/>
        </w:rPr>
        <w:t>для служебного пользования;</w:t>
      </w:r>
    </w:p>
    <w:p>
      <w:pPr>
        <w:pStyle w:val="Style9"/>
        <w:keepNext w:val="0"/>
        <w:keepLines w:val="0"/>
        <w:widowControl w:val="0"/>
        <w:numPr>
          <w:ilvl w:val="0"/>
          <w:numId w:val="7"/>
        </w:numPr>
        <w:shd w:val="clear" w:color="auto" w:fill="auto"/>
        <w:tabs>
          <w:tab w:pos="1426" w:val="left"/>
        </w:tabs>
        <w:bidi w:val="0"/>
        <w:spacing w:before="0" w:after="0" w:line="240" w:lineRule="auto"/>
        <w:ind w:left="0" w:right="0" w:firstLine="720"/>
        <w:jc w:val="both"/>
      </w:pPr>
      <w:r>
        <w:rPr>
          <w:rStyle w:val="CharStyle10"/>
        </w:rPr>
        <w:t xml:space="preserve">при осуществлении закупки товаров, указанных в позициях </w:t>
      </w:r>
      <w:r>
        <w:rPr>
          <w:rStyle w:val="CharStyle10"/>
          <w:lang w:val="en-US" w:eastAsia="en-US"/>
        </w:rPr>
        <w:t xml:space="preserve">1 - 145 </w:t>
      </w:r>
      <w:r>
        <w:rPr>
          <w:rStyle w:val="CharStyle10"/>
        </w:rPr>
        <w:t xml:space="preserve">приложения </w:t>
      </w:r>
      <w:r>
        <w:rPr>
          <w:rStyle w:val="CharStyle10"/>
          <w:lang w:val="en-US" w:eastAsia="en-US"/>
        </w:rPr>
        <w:t xml:space="preserve">№ 1 </w:t>
      </w:r>
      <w:r>
        <w:rPr>
          <w:rStyle w:val="CharStyle10"/>
        </w:rPr>
        <w:t xml:space="preserve">к настоящему постановлению, </w:t>
      </w:r>
      <w:r>
        <w:rPr>
          <w:rStyle w:val="CharStyle10"/>
          <w:lang w:val="en-US" w:eastAsia="en-US"/>
        </w:rPr>
        <w:t xml:space="preserve">- </w:t>
      </w:r>
      <w:r>
        <w:rPr>
          <w:rStyle w:val="CharStyle10"/>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п.5 Постановления </w:t>
      </w:r>
      <w:r>
        <w:rPr>
          <w:rStyle w:val="CharStyle10"/>
          <w:lang w:val="en-US" w:eastAsia="en-US"/>
        </w:rPr>
        <w:t xml:space="preserve">№ 1875 </w:t>
      </w:r>
      <w:r>
        <w:rPr>
          <w:rStyle w:val="CharStyle10"/>
        </w:rPr>
        <w:t>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9"/>
        <w:keepNext w:val="0"/>
        <w:keepLines w:val="0"/>
        <w:widowControl w:val="0"/>
        <w:numPr>
          <w:ilvl w:val="0"/>
          <w:numId w:val="7"/>
        </w:numPr>
        <w:shd w:val="clear" w:color="auto" w:fill="auto"/>
        <w:tabs>
          <w:tab w:pos="1426" w:val="left"/>
        </w:tabs>
        <w:bidi w:val="0"/>
        <w:spacing w:before="0" w:after="0" w:line="240" w:lineRule="auto"/>
        <w:ind w:left="0" w:right="0" w:firstLine="720"/>
        <w:jc w:val="both"/>
      </w:pPr>
      <w:r>
        <w:rPr>
          <w:rStyle w:val="CharStyle10"/>
        </w:rPr>
        <w:t xml:space="preserve">при осуществлении закупки товаров, указанных в позициях </w:t>
      </w:r>
      <w:r>
        <w:rPr>
          <w:rStyle w:val="CharStyle10"/>
          <w:lang w:val="en-US" w:eastAsia="en-US"/>
        </w:rPr>
        <w:t xml:space="preserve">1 - 433 </w:t>
      </w:r>
      <w:r>
        <w:rPr>
          <w:rStyle w:val="CharStyle10"/>
        </w:rPr>
        <w:t xml:space="preserve">приложения </w:t>
      </w:r>
      <w:r>
        <w:rPr>
          <w:rStyle w:val="CharStyle10"/>
          <w:lang w:val="en-US" w:eastAsia="en-US"/>
        </w:rPr>
        <w:t xml:space="preserve">№ 2 </w:t>
      </w:r>
      <w:r>
        <w:rPr>
          <w:rStyle w:val="CharStyle10"/>
        </w:rPr>
        <w:t xml:space="preserve">к Постановлению </w:t>
      </w:r>
      <w:r>
        <w:rPr>
          <w:rStyle w:val="CharStyle10"/>
          <w:lang w:val="en-US" w:eastAsia="en-US"/>
        </w:rPr>
        <w:t xml:space="preserve">№ 1875, - </w:t>
      </w:r>
      <w:r>
        <w:rPr>
          <w:rStyle w:val="CharStyle10"/>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0"/>
          <w:lang w:val="en-US" w:eastAsia="en-US"/>
        </w:rPr>
        <w:t xml:space="preserve">034-2014 </w:t>
      </w:r>
      <w:r>
        <w:rPr>
          <w:rStyle w:val="CharStyle10"/>
        </w:rPr>
        <w:t xml:space="preserve">(КПЕС </w:t>
      </w:r>
      <w:r>
        <w:rPr>
          <w:rStyle w:val="CharStyle10"/>
          <w:lang w:val="en-US" w:eastAsia="en-US"/>
        </w:rPr>
        <w:t xml:space="preserve">2008), </w:t>
      </w:r>
      <w:r>
        <w:rPr>
          <w:rStyle w:val="CharStyle10"/>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осуществлении закупки товаров, не указанных в позициях </w:t>
      </w:r>
      <w:r>
        <w:rPr>
          <w:rStyle w:val="CharStyle10"/>
          <w:lang w:val="en-US" w:eastAsia="en-US"/>
        </w:rPr>
        <w:t xml:space="preserve">1 - 145 </w:t>
      </w:r>
      <w:r>
        <w:rPr>
          <w:rStyle w:val="CharStyle10"/>
        </w:rPr>
        <w:t xml:space="preserve">приложения </w:t>
      </w:r>
      <w:r>
        <w:rPr>
          <w:rStyle w:val="CharStyle10"/>
          <w:lang w:val="en-US" w:eastAsia="en-US"/>
        </w:rPr>
        <w:t xml:space="preserve">№ 1 </w:t>
      </w:r>
      <w:r>
        <w:rPr>
          <w:rStyle w:val="CharStyle10"/>
        </w:rPr>
        <w:t xml:space="preserve">к настоящему постановлению, позициях </w:t>
      </w:r>
      <w:r>
        <w:rPr>
          <w:rStyle w:val="CharStyle10"/>
          <w:lang w:val="en-US" w:eastAsia="en-US"/>
        </w:rPr>
        <w:t xml:space="preserve">1 - 433 </w:t>
      </w:r>
      <w:r>
        <w:rPr>
          <w:rStyle w:val="CharStyle10"/>
        </w:rPr>
        <w:t xml:space="preserve">приложения </w:t>
      </w:r>
      <w:r>
        <w:rPr>
          <w:rStyle w:val="CharStyle10"/>
          <w:lang w:val="en-US" w:eastAsia="en-US"/>
        </w:rPr>
        <w:t xml:space="preserve">№ 2 </w:t>
      </w:r>
      <w:r>
        <w:rPr>
          <w:rStyle w:val="CharStyle10"/>
        </w:rPr>
        <w:t xml:space="preserve">к Постановлению </w:t>
      </w:r>
      <w:r>
        <w:rPr>
          <w:rStyle w:val="CharStyle10"/>
          <w:lang w:val="en-US" w:eastAsia="en-US"/>
        </w:rPr>
        <w:t xml:space="preserve">№ 1875, - </w:t>
      </w:r>
      <w:r>
        <w:rPr>
          <w:rStyle w:val="CharStyle10"/>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Комиссией Управления установлено, что согласно извещению Заказчиком установлено преимущество в соответствии с Постановлением </w:t>
      </w:r>
      <w:r>
        <w:rPr>
          <w:rStyle w:val="CharStyle10"/>
          <w:lang w:val="en-US" w:eastAsia="en-US"/>
        </w:rPr>
        <w:t xml:space="preserve">№ 1875, </w:t>
      </w:r>
      <w:r>
        <w:rPr>
          <w:rStyle w:val="CharStyle10"/>
        </w:rPr>
        <w:t>вместе с тем Заказчиком в составе извещения об осуществлении закупки продекларирован</w:t>
      </w:r>
    </w:p>
    <w:p>
      <w:pPr>
        <w:pStyle w:val="Style9"/>
        <w:keepNext w:val="0"/>
        <w:keepLines w:val="0"/>
        <w:widowControl w:val="0"/>
        <w:shd w:val="clear" w:color="auto" w:fill="auto"/>
        <w:bidi w:val="0"/>
        <w:spacing w:before="0" w:after="0" w:line="240" w:lineRule="auto"/>
        <w:ind w:left="0" w:right="0" w:firstLine="0"/>
        <w:jc w:val="both"/>
      </w:pPr>
      <w:r>
        <w:rPr>
          <w:rStyle w:val="CharStyle10"/>
        </w:rPr>
        <w:t>факта отсутствия на территории Российской Федерации производства такого товара с характеристиками, соответствующими потребности заказчика.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 Комиссия Управления отмечает, что, исходя из буквального трактования положений ч.1.1 ст.33 Закона контрактной системе, следует, что при описании товара, являющегося объектом закупки товара, Заказчиком подлежат указанию характеристики товара российского происхождения, в случае установления предусмотренных п.1 ч.2 ст.14 Закона о контрактной системе запрета, ограничения или преимущества в отношении такого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Следовательно, требования ч.1.1 ст.33 Закона контрактной системе подлежат реализации в случае установления предусмотренных п.1 ч.2 ст.14 Закона о контрактной системе запрета, ограничения или преимущества в отношении закупаемого товара, а также в случае наличия производства на территории Российской Федерации соответствующего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Аналогичная позиция изложена в информационном письме Минфина России от </w:t>
      </w:r>
      <w:r>
        <w:rPr>
          <w:rStyle w:val="CharStyle10"/>
          <w:lang w:val="en-US" w:eastAsia="en-US"/>
        </w:rPr>
        <w:t xml:space="preserve">31.01.2025 № 24-01-06/8697 </w:t>
      </w:r>
      <w:r>
        <w:rPr>
          <w:rStyle w:val="CharStyle10"/>
        </w:rPr>
        <w:t xml:space="preserve">«О применении положений постановления Правительства Российской Федерации от </w:t>
      </w:r>
      <w:r>
        <w:rPr>
          <w:rStyle w:val="CharStyle10"/>
          <w:lang w:val="en-US" w:eastAsia="en-US"/>
        </w:rPr>
        <w:t xml:space="preserve">23 </w:t>
      </w:r>
      <w:r>
        <w:rPr>
          <w:rStyle w:val="CharStyle10"/>
        </w:rPr>
        <w:t xml:space="preserve">декабря </w:t>
      </w:r>
      <w:r>
        <w:rPr>
          <w:rStyle w:val="CharStyle10"/>
          <w:lang w:val="en-US" w:eastAsia="en-US"/>
        </w:rPr>
        <w:t xml:space="preserve">2024 </w:t>
      </w:r>
      <w:r>
        <w:rPr>
          <w:rStyle w:val="CharStyle10"/>
        </w:rPr>
        <w:t xml:space="preserve">г. </w:t>
      </w:r>
      <w:r>
        <w:rPr>
          <w:rStyle w:val="CharStyle10"/>
          <w:lang w:val="en-US" w:eastAsia="en-US"/>
        </w:rPr>
        <w:t xml:space="preserve">№ 1875 </w:t>
      </w:r>
      <w:r>
        <w:rPr>
          <w:rStyle w:val="CharStyle10"/>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установленных выше обстоятельствах Комиссия Управления приходит к выводу о том, что Заказчиком исполнены требования пп. «а» п.7 Постановления </w:t>
      </w:r>
      <w:r>
        <w:rPr>
          <w:rStyle w:val="CharStyle10"/>
          <w:lang w:val="en-US" w:eastAsia="en-US"/>
        </w:rPr>
        <w:t>№1875.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9"/>
        <w:keepNext w:val="0"/>
        <w:keepLines w:val="0"/>
        <w:widowControl w:val="0"/>
        <w:shd w:val="clear" w:color="auto" w:fill="auto"/>
        <w:bidi w:val="0"/>
        <w:spacing w:before="0" w:after="0" w:line="240" w:lineRule="auto"/>
        <w:ind w:left="0" w:right="0" w:firstLine="720"/>
        <w:jc w:val="both"/>
        <w:sectPr>
          <w:headerReference w:type="default" r:id="rId15"/>
          <w:footerReference w:type="default" r:id="rId16"/>
          <w:footnotePr>
            <w:pos w:val="pageBottom"/>
            <w:numFmt w:val="decimal"/>
            <w:numRestart w:val="continuous"/>
          </w:footnotePr>
          <w:pgSz w:w="11900" w:h="16840"/>
          <w:pgMar w:top="1162" w:right="547" w:bottom="1100" w:left="1100" w:header="0" w:footer="3" w:gutter="0"/>
          <w:cols w:space="720"/>
          <w:noEndnote/>
          <w:rtlGutter w:val="0"/>
          <w:docGrid w:linePitch="360"/>
        </w:sectPr>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40" w:line="240" w:lineRule="auto"/>
        <w:ind w:left="0" w:right="0" w:firstLine="0"/>
        <w:jc w:val="center"/>
      </w:pPr>
      <w:r>
        <w:rPr>
          <w:rStyle w:val="CharStyle10"/>
          <w:b/>
          <w:bCs/>
        </w:rPr>
        <w:t>РЕШИЛА:</w:t>
      </w:r>
    </w:p>
    <w:p>
      <w:pPr>
        <w:pStyle w:val="Style9"/>
        <w:keepNext w:val="0"/>
        <w:keepLines w:val="0"/>
        <w:widowControl w:val="0"/>
        <w:numPr>
          <w:ilvl w:val="0"/>
          <w:numId w:val="9"/>
        </w:numPr>
        <w:shd w:val="clear" w:color="auto" w:fill="auto"/>
        <w:tabs>
          <w:tab w:pos="982" w:val="left"/>
        </w:tabs>
        <w:bidi w:val="0"/>
        <w:spacing w:before="0" w:after="0" w:line="240" w:lineRule="auto"/>
        <w:ind w:left="0" w:right="0" w:firstLine="720"/>
        <w:jc w:val="both"/>
      </w:pPr>
      <w:r>
        <w:rPr>
          <w:rStyle w:val="CharStyle10"/>
        </w:rPr>
        <w:t>.Признать жалобу ИП Караваева М.А. на действия ФГБУ ФБ МСЭ Минтруда России обоснованной в части неправомерного формирования описания объекта закупки.</w:t>
      </w:r>
    </w:p>
    <w:p>
      <w:pPr>
        <w:pStyle w:val="Style9"/>
        <w:keepNext w:val="0"/>
        <w:keepLines w:val="0"/>
        <w:widowControl w:val="0"/>
        <w:numPr>
          <w:ilvl w:val="0"/>
          <w:numId w:val="9"/>
        </w:numPr>
        <w:shd w:val="clear" w:color="auto" w:fill="auto"/>
        <w:tabs>
          <w:tab w:pos="978" w:val="left"/>
        </w:tabs>
        <w:bidi w:val="0"/>
        <w:spacing w:before="0" w:after="0" w:line="240" w:lineRule="auto"/>
        <w:ind w:left="0" w:right="0" w:firstLine="720"/>
        <w:jc w:val="both"/>
      </w:pPr>
      <w:r>
        <w:rPr>
          <w:rStyle w:val="CharStyle10"/>
          <w:lang w:val="en-US" w:eastAsia="en-US"/>
        </w:rPr>
        <w:t xml:space="preserve">. </w:t>
      </w:r>
      <w:r>
        <w:rPr>
          <w:rStyle w:val="CharStyle10"/>
        </w:rPr>
        <w:t>Признать в действиях Заказчика п.1 ч.1 ст.33 Закона о контрактной системе.</w:t>
      </w:r>
    </w:p>
    <w:p>
      <w:pPr>
        <w:pStyle w:val="Style9"/>
        <w:keepNext w:val="0"/>
        <w:keepLines w:val="0"/>
        <w:widowControl w:val="0"/>
        <w:numPr>
          <w:ilvl w:val="0"/>
          <w:numId w:val="9"/>
        </w:numPr>
        <w:shd w:val="clear" w:color="auto" w:fill="auto"/>
        <w:tabs>
          <w:tab w:pos="1040" w:val="left"/>
        </w:tabs>
        <w:bidi w:val="0"/>
        <w:spacing w:before="0" w:after="0" w:line="240" w:lineRule="auto"/>
        <w:ind w:left="0" w:right="0" w:firstLine="720"/>
        <w:jc w:val="both"/>
      </w:pPr>
      <w:r>
        <w:rPr>
          <w:rStyle w:val="CharStyle10"/>
        </w:rPr>
        <w:t>.Выдать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9"/>
        </w:numPr>
        <w:shd w:val="clear" w:color="auto" w:fill="auto"/>
        <w:tabs>
          <w:tab w:pos="1045" w:val="left"/>
        </w:tabs>
        <w:bidi w:val="0"/>
        <w:spacing w:before="0" w:after="300" w:line="240" w:lineRule="auto"/>
        <w:ind w:left="0" w:right="0" w:firstLine="720"/>
        <w:jc w:val="both"/>
      </w:pPr>
      <w:r>
        <w:rPr>
          <w:rStyle w:val="CharStyle1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footnotePr>
            <w:pos w:val="pageBottom"/>
            <w:numFmt w:val="decimal"/>
            <w:numRestart w:val="continuous"/>
          </w:footnotePr>
          <w:pgSz w:w="11900" w:h="16840"/>
          <w:pgMar w:top="1158" w:right="532" w:bottom="1312" w:left="1106" w:header="0" w:footer="3" w:gutter="0"/>
          <w:cols w:space="720"/>
          <w:noEndnote/>
          <w:rtlGutter w:val="0"/>
          <w:docGrid w:linePitch="360"/>
        </w:sectPr>
      </w:pPr>
      <w:r>
        <mc:AlternateContent>
          <mc:Choice Requires="wps">
            <w:drawing>
              <wp:anchor distT="914400" distB="192405" distL="0" distR="0" simplePos="0" relativeHeight="125829379" behindDoc="0" locked="0" layoutInCell="1" allowOverlap="1">
                <wp:simplePos x="0" y="0"/>
                <wp:positionH relativeFrom="page">
                  <wp:posOffset>739140</wp:posOffset>
                </wp:positionH>
                <wp:positionV relativeFrom="paragraph">
                  <wp:posOffset>914400</wp:posOffset>
                </wp:positionV>
                <wp:extent cx="1844040" cy="252730"/>
                <wp:wrapTopAndBottom/>
                <wp:docPr id="16" name="Shape 16"/>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8.200000000000003pt;margin-top:72.pt;width:145.20000000000002pt;height:19.900000000000002pt;z-index:-125829374;mso-wrap-distance-left:0;mso-wrap-distance-top:72.pt;mso-wrap-distance-right:0;mso-wrap-distance-bottom:15.1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1014730" distB="635" distL="0" distR="1816735" simplePos="0" relativeHeight="125829381" behindDoc="0" locked="0" layoutInCell="1" allowOverlap="1">
            <wp:simplePos x="0" y="0"/>
            <wp:positionH relativeFrom="page">
              <wp:posOffset>3314700</wp:posOffset>
            </wp:positionH>
            <wp:positionV relativeFrom="paragraph">
              <wp:posOffset>1014730</wp:posOffset>
            </wp:positionV>
            <wp:extent cx="298450" cy="347345"/>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3704590</wp:posOffset>
                </wp:positionH>
                <wp:positionV relativeFrom="paragraph">
                  <wp:posOffset>1075690</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91.69999999999999pt;margin-top:84.700000000000003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914400" distB="192405" distL="0" distR="0" simplePos="0" relativeHeight="125829382" behindDoc="0" locked="0" layoutInCell="1" allowOverlap="1">
                <wp:simplePos x="0" y="0"/>
                <wp:positionH relativeFrom="page">
                  <wp:posOffset>5908675</wp:posOffset>
                </wp:positionH>
                <wp:positionV relativeFrom="paragraph">
                  <wp:posOffset>914400</wp:posOffset>
                </wp:positionV>
                <wp:extent cx="1307465" cy="252730"/>
                <wp:wrapTopAndBottom/>
                <wp:docPr id="22" name="Shape 22"/>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wps:txbx>
                      <wps:bodyPr wrap="none" lIns="0" tIns="0" rIns="0" bIns="0">
                        <a:noAutoFit/>
                      </wps:bodyPr>
                    </wps:wsp>
                  </a:graphicData>
                </a:graphic>
              </wp:anchor>
            </w:drawing>
          </mc:Choice>
          <mc:Fallback>
            <w:pict>
              <v:shape id="_x0000_s1048" type="#_x0000_t202" style="position:absolute;margin-left:465.25pt;margin-top:72.pt;width:102.95pt;height:19.900000000000002pt;z-index:-125829371;mso-wrap-distance-left:0;mso-wrap-distance-top:72.pt;mso-wrap-distance-right:0;mso-wrap-distance-bottom:15.1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800" w:right="0" w:firstLine="0"/>
        <w:jc w:val="left"/>
        <w:rPr>
          <w:sz w:val="12"/>
          <w:szCs w:val="12"/>
        </w:rPr>
      </w:pPr>
      <w:r>
        <w:rPr>
          <w:rStyle w:val="CharStyle18"/>
          <w:color w:val="FFFFFF"/>
          <w:sz w:val="12"/>
          <w:szCs w:val="12"/>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Кутейников Антон Андреевич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67950889C45403E5BD9EBC88A8D80C0D</w:t>
      </w:r>
    </w:p>
    <w:p>
      <w:pPr>
        <w:pStyle w:val="Style20"/>
        <w:keepNext w:val="0"/>
        <w:keepLines w:val="0"/>
        <w:widowControl w:val="0"/>
        <w:shd w:val="clear" w:color="auto" w:fill="auto"/>
        <w:bidi w:val="0"/>
        <w:spacing w:before="0" w:after="580" w:line="240" w:lineRule="auto"/>
        <w:ind w:right="0" w:firstLine="0"/>
        <w:jc w:val="left"/>
      </w:pPr>
      <w:r>
        <w:rPr>
          <w:rStyle w:val="CharStyle21"/>
        </w:rPr>
        <w:t xml:space="preserve">Действителен с 19.05.2025 </w:t>
      </w:r>
      <w:r>
        <w:rPr>
          <w:rStyle w:val="CharStyle21"/>
          <w:color w:val="5E5E5E"/>
        </w:rPr>
        <w:t xml:space="preserve">по </w:t>
      </w:r>
      <w:r>
        <w:rPr>
          <w:rStyle w:val="CharStyle21"/>
        </w:rPr>
        <w:t>12.08.2026</w:t>
      </w:r>
    </w:p>
    <w:p>
      <w:pPr>
        <w:pStyle w:val="Style9"/>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6100445</wp:posOffset>
                </wp:positionH>
                <wp:positionV relativeFrom="paragraph">
                  <wp:posOffset>266700</wp:posOffset>
                </wp:positionV>
                <wp:extent cx="1118870" cy="252730"/>
                <wp:wrapSquare wrapText="bothSides"/>
                <wp:docPr id="24" name="Shape 24"/>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М.О. Мацнева</w:t>
                            </w:r>
                          </w:p>
                        </w:txbxContent>
                      </wps:txbx>
                      <wps:bodyPr wrap="none" lIns="0" tIns="0" rIns="0" bIns="0">
                        <a:noAutoFit/>
                      </wps:bodyPr>
                    </wps:wsp>
                  </a:graphicData>
                </a:graphic>
              </wp:anchor>
            </w:drawing>
          </mc:Choice>
          <mc:Fallback>
            <w:pict>
              <v:shape id="_x0000_s1050" type="#_x0000_t202" style="position:absolute;margin-left:480.35000000000002pt;margin-top:21.pt;width:88.100000000000009pt;height:19.900000000000002pt;z-index:-12582936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М.О. Мацнева</w:t>
                      </w:r>
                    </w:p>
                  </w:txbxContent>
                </v:textbox>
                <w10:wrap type="square" anchorx="page"/>
              </v:shape>
            </w:pict>
          </mc:Fallback>
        </mc:AlternateContent>
      </w:r>
      <w:r>
        <w:rPr>
          <w:rStyle w:val="CharStyle10"/>
        </w:rPr>
        <w:t>Члены Комиссии</w:t>
      </w:r>
    </w:p>
    <w:p>
      <w:pPr>
        <w:pStyle w:val="Style17"/>
        <w:keepNext w:val="0"/>
        <w:keepLines w:val="0"/>
        <w:widowControl w:val="0"/>
        <w:shd w:val="clear" w:color="auto" w:fill="auto"/>
        <w:bidi w:val="0"/>
        <w:spacing w:before="0" w:after="90" w:line="240" w:lineRule="auto"/>
        <w:ind w:left="474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800" w:right="0" w:firstLine="0"/>
        <w:jc w:val="left"/>
        <w:rPr>
          <w:sz w:val="12"/>
          <w:szCs w:val="12"/>
        </w:rPr>
      </w:pPr>
      <w:r>
        <w:rPr>
          <w:rStyle w:val="CharStyle18"/>
          <w:color w:val="FFFFFF"/>
          <w:sz w:val="12"/>
          <w:szCs w:val="12"/>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Мацнева Мария Олеговна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00FDA1C988AAB27A9A34756B8D5F1D853</w:t>
      </w:r>
      <w:r>
        <w:rPr>
          <w:rStyle w:val="CharStyle21"/>
          <w:lang w:val="en-US" w:eastAsia="en-US"/>
        </w:rPr>
        <w:t>A</w:t>
      </w:r>
    </w:p>
    <w:p>
      <w:pPr>
        <w:pStyle w:val="Style20"/>
        <w:keepNext w:val="0"/>
        <w:keepLines w:val="0"/>
        <w:widowControl w:val="0"/>
        <w:shd w:val="clear" w:color="auto" w:fill="auto"/>
        <w:bidi w:val="0"/>
        <w:spacing w:before="0" w:after="580" w:line="240" w:lineRule="auto"/>
        <w:ind w:right="0" w:firstLine="0"/>
        <w:jc w:val="left"/>
      </w:pPr>
      <w:r>
        <w:rPr>
          <w:rStyle w:val="CharStyle21"/>
        </w:rPr>
        <w:t xml:space="preserve">Действителен с 22.07.2025 </w:t>
      </w:r>
      <w:r>
        <w:rPr>
          <w:rStyle w:val="CharStyle21"/>
          <w:color w:val="5E5E5E"/>
        </w:rPr>
        <w:t xml:space="preserve">по </w:t>
      </w:r>
      <w:r>
        <w:rPr>
          <w:rStyle w:val="CharStyle21"/>
        </w:rPr>
        <w:t>15.10.2026</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3250565</wp:posOffset>
            </wp:positionH>
            <wp:positionV relativeFrom="paragraph">
              <wp:posOffset>25400</wp:posOffset>
            </wp:positionV>
            <wp:extent cx="389890" cy="55499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3744595</wp:posOffset>
                </wp:positionH>
                <wp:positionV relativeFrom="paragraph">
                  <wp:posOffset>464185</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94.85000000000002pt;margin-top:36.550000000000004pt;width:101.05pt;height:7.90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3704590</wp:posOffset>
                </wp:positionH>
                <wp:positionV relativeFrom="paragraph">
                  <wp:posOffset>147320</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91.69999999999999pt;margin-top:11.6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А.С. Гелмутдинова</w:t>
      </w:r>
    </w:p>
    <w:p>
      <w:pPr>
        <w:pStyle w:val="Style20"/>
        <w:keepNext w:val="0"/>
        <w:keepLines w:val="0"/>
        <w:widowControl w:val="0"/>
        <w:shd w:val="clear" w:color="auto" w:fill="auto"/>
        <w:bidi w:val="0"/>
        <w:spacing w:before="0" w:after="0" w:line="266" w:lineRule="auto"/>
        <w:ind w:right="0" w:firstLine="20"/>
        <w:jc w:val="left"/>
      </w:pPr>
      <w:r>
        <w:rPr>
          <w:rStyle w:val="CharStyle21"/>
        </w:rPr>
        <w:t xml:space="preserve">Кому выдан: </w:t>
      </w:r>
      <w:r>
        <w:rPr>
          <w:rStyle w:val="CharStyle21"/>
          <w:color w:val="000000"/>
        </w:rPr>
        <w:t>ГЕЛМУТДИНОВА АНАСТАСИЯ СЕРГЕЕВНА</w:t>
      </w:r>
      <w:r>
        <w:rPr>
          <w:rStyle w:val="CharStyle21"/>
          <w:color w:val="000000"/>
        </w:rPr>
        <w:t xml:space="preserve"> </w:t>
      </w:r>
      <w:r>
        <w:rPr>
          <w:rStyle w:val="CharStyle21"/>
        </w:rPr>
        <w:t xml:space="preserve">Сертификат </w:t>
      </w:r>
      <w:r>
        <w:rPr>
          <w:rStyle w:val="CharStyle21"/>
          <w:color w:val="292929"/>
        </w:rPr>
        <w:t xml:space="preserve">№ </w:t>
      </w:r>
      <w:r>
        <w:rPr>
          <w:rStyle w:val="CharStyle21"/>
        </w:rPr>
        <w:t>723501СС21703599976371</w:t>
      </w:r>
      <w:r>
        <w:rPr>
          <w:rStyle w:val="CharStyle21"/>
          <w:lang w:val="en-US" w:eastAsia="en-US"/>
        </w:rPr>
        <w:t>4F5C652689</w:t>
      </w:r>
    </w:p>
    <w:p>
      <w:pPr>
        <w:pStyle w:val="Style20"/>
        <w:keepNext w:val="0"/>
        <w:keepLines w:val="0"/>
        <w:widowControl w:val="0"/>
        <w:shd w:val="clear" w:color="auto" w:fill="auto"/>
        <w:bidi w:val="0"/>
        <w:spacing w:before="0" w:after="1060" w:line="266" w:lineRule="auto"/>
        <w:ind w:right="0" w:firstLine="20"/>
        <w:jc w:val="left"/>
      </w:pPr>
      <w:r>
        <w:rPr>
          <w:rStyle w:val="CharStyle21"/>
        </w:rPr>
        <w:t xml:space="preserve">Действителен с 09.02.2026 </w:t>
      </w:r>
      <w:r>
        <w:rPr>
          <w:rStyle w:val="CharStyle21"/>
          <w:color w:val="5E5E5E"/>
        </w:rPr>
        <w:t xml:space="preserve">по </w:t>
      </w:r>
      <w:r>
        <w:rPr>
          <w:rStyle w:val="CharStyle21"/>
        </w:rPr>
        <w:t>05.05.2027</w:t>
      </w:r>
    </w:p>
    <w:p>
      <w:pPr>
        <w:pStyle w:val="Style25"/>
        <w:keepNext w:val="0"/>
        <w:keepLines w:val="0"/>
        <w:widowControl w:val="0"/>
        <w:shd w:val="clear" w:color="auto" w:fill="auto"/>
        <w:bidi w:val="0"/>
        <w:spacing w:before="0" w:line="240" w:lineRule="auto"/>
        <w:ind w:left="0" w:right="0" w:firstLine="0"/>
        <w:jc w:val="both"/>
      </w:pPr>
      <w:r>
        <w:rPr>
          <w:rStyle w:val="CharStyle26"/>
        </w:rPr>
        <w:t>Исп.Гелмутдинова А.С.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5170" cy="103505"/>
              <wp:wrapNone/>
              <wp:docPr id="4" name="Shape 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2026-23636</w:t>
                          </w:r>
                        </w:p>
                      </w:txbxContent>
                    </wps:txbx>
                    <wps:bodyPr wrap="none" lIns="0" tIns="0" rIns="0" bIns="0">
                      <a:spAutoFit/>
                    </wps:bodyPr>
                  </wps:wsp>
                </a:graphicData>
              </a:graphic>
            </wp:anchor>
          </w:drawing>
        </mc:Choice>
        <mc:Fallback>
          <w:pict>
            <v:shape id="_x0000_s1030" type="#_x0000_t202" style="position:absolute;margin-left:57.200000000000003pt;margin-top:794.70000000000005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2026-23636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10214610</wp:posOffset>
              </wp:positionV>
              <wp:extent cx="725170" cy="106680"/>
              <wp:wrapNone/>
              <wp:docPr id="6" name="Shape 6"/>
              <a:graphic xmlns:a="http://schemas.openxmlformats.org/drawingml/2006/main">
                <a:graphicData uri="http://schemas.microsoft.com/office/word/2010/wordprocessingShape">
                  <wps:wsp>
                    <wps:cNvSpPr txBox="1"/>
                    <wps:spPr>
                      <a:xfrm>
                        <a:ext cx="7251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2026-23636</w:t>
                          </w:r>
                        </w:p>
                      </w:txbxContent>
                    </wps:txbx>
                    <wps:bodyPr wrap="none" lIns="0" tIns="0" rIns="0" bIns="0">
                      <a:spAutoFit/>
                    </wps:bodyPr>
                  </wps:wsp>
                </a:graphicData>
              </a:graphic>
            </wp:anchor>
          </w:drawing>
        </mc:Choice>
        <mc:Fallback>
          <w:pict>
            <v:shape id="_x0000_s1032" type="#_x0000_t202" style="position:absolute;margin-left:56.75pt;margin-top:804.30000000000007pt;width:57.10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2026-23636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5170" cy="103505"/>
              <wp:wrapNone/>
              <wp:docPr id="14" name="Shape 1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2026-23636</w:t>
                          </w:r>
                        </w:p>
                      </w:txbxContent>
                    </wps:txbx>
                    <wps:bodyPr wrap="none" lIns="0" tIns="0" rIns="0" bIns="0">
                      <a:spAutoFit/>
                    </wps:bodyPr>
                  </wps:wsp>
                </a:graphicData>
              </a:graphic>
            </wp:anchor>
          </w:drawing>
        </mc:Choice>
        <mc:Fallback>
          <w:pict>
            <v:shape id="_x0000_s1040" type="#_x0000_t202" style="position:absolute;margin-left:57.200000000000003pt;margin-top:794.70000000000005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2026-23636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424815</wp:posOffset>
              </wp:positionV>
              <wp:extent cx="69850" cy="69850"/>
              <wp:wrapNone/>
              <wp:docPr id="2" name="Shape 2"/>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pt;margin-top:33.450000000000003pt;width:5.5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3921125</wp:posOffset>
              </wp:positionH>
              <wp:positionV relativeFrom="page">
                <wp:posOffset>509270</wp:posOffset>
              </wp:positionV>
              <wp:extent cx="67310" cy="69850"/>
              <wp:wrapNone/>
              <wp:docPr id="10" name="Shape 10"/>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6" type="#_x0000_t202" style="position:absolute;margin-left:308.75pt;margin-top:40.100000000000001pt;width:5.2999999999999998pt;height:5.5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424815</wp:posOffset>
              </wp:positionV>
              <wp:extent cx="69850" cy="69850"/>
              <wp:wrapNone/>
              <wp:docPr id="12" name="Shape 12"/>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8" type="#_x0000_t202" style="position:absolute;margin-left:309.pt;margin-top:33.450000000000003pt;width:5.5pt;height:5.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34343"/>
      <w:sz w:val="12"/>
      <w:szCs w:val="12"/>
      <w:u w:val="none"/>
    </w:rPr>
  </w:style>
  <w:style w:type="character" w:customStyle="1" w:styleId="CharStyle26">
    <w:name w:val="Body text (5)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4)"/>
    <w:basedOn w:val="Normal"/>
    <w:link w:val="CharStyle18"/>
    <w:pPr>
      <w:widowControl w:val="0"/>
      <w:shd w:val="clear" w:color="auto" w:fill="auto"/>
      <w:spacing w:after="100"/>
      <w:ind w:left="4770"/>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2)"/>
    <w:basedOn w:val="Normal"/>
    <w:link w:val="CharStyle21"/>
    <w:pPr>
      <w:widowControl w:val="0"/>
      <w:shd w:val="clear" w:color="auto" w:fill="auto"/>
      <w:ind w:left="4080"/>
    </w:pPr>
    <w:rPr>
      <w:rFonts w:ascii="Arial" w:eastAsia="Arial" w:hAnsi="Arial" w:cs="Arial"/>
      <w:b w:val="0"/>
      <w:bCs w:val="0"/>
      <w:i w:val="0"/>
      <w:iCs w:val="0"/>
      <w:smallCaps w:val="0"/>
      <w:strike w:val="0"/>
      <w:color w:val="434343"/>
      <w:sz w:val="12"/>
      <w:szCs w:val="12"/>
      <w:u w:val="none"/>
    </w:rPr>
  </w:style>
  <w:style w:type="paragraph" w:customStyle="1" w:styleId="Style25">
    <w:name w:val="Body text (5)"/>
    <w:basedOn w:val="Normal"/>
    <w:link w:val="CharStyle26"/>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