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4.05.2026</w:t>
      </w:r>
      <w:r>
        <w:fldChar w:fldCharType="end"/>
      </w:r>
      <w:r>
        <w:rPr>
          <w:rStyle w:val="CharStyle10"/>
        </w:rPr>
        <w:tab/>
        <w:t>№ 20453/26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Управы района Марфино г. Москвы </w:t>
      </w:r>
      <w:r>
        <w:fldChar w:fldCharType="begin"/>
      </w:r>
      <w:r>
        <w:rPr/>
        <w:instrText> HYPERLINK "mailto:marspr@mos.ru" </w:instrText>
      </w:r>
      <w:r>
        <w:fldChar w:fldCharType="separate"/>
      </w:r>
      <w:r>
        <w:rPr>
          <w:rStyle w:val="CharStyle12"/>
          <w:lang w:val="en-US" w:eastAsia="en-US"/>
        </w:rPr>
        <w:t>marspr@mos.ru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74" w:bottom="708" w:left="1293" w:header="0" w:footer="3" w:gutter="0"/>
          <w:pgNumType w:start="1"/>
          <w:cols w:num="2" w:space="720" w:equalWidth="0">
            <w:col w:w="3806" w:space="1306"/>
            <w:col w:w="4320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ООО «Квазар» </w:t>
      </w: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12"/>
          <w:lang w:val="en-US" w:eastAsia="en-US"/>
        </w:rPr>
        <w:t>info@kvazar.ooo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125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077/06/105-5871/2026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08.05.2026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Хлебниковой,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Управы района Марфино г. Москвы: А.М. Слюсаревой (дов. </w:t>
      </w:r>
      <w:r>
        <w:rPr>
          <w:rStyle w:val="CharStyle12"/>
          <w:lang w:val="en-US" w:eastAsia="en-US"/>
        </w:rPr>
        <w:t xml:space="preserve">№01-18-1074/26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07.05.2026),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отсутствие представителей ООО «Квазар»,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ЕИС),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«Квазар»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Заявитель) на действия Управы района Марфино г. Москвы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поставку картриджей для МФУ для нужд управы, Совета ветеранов и ОПОП района Марфино города Москвы (Закупка </w:t>
      </w:r>
      <w:r>
        <w:rPr>
          <w:rStyle w:val="CharStyle12"/>
          <w:lang w:val="en-US" w:eastAsia="en-US"/>
        </w:rPr>
        <w:t xml:space="preserve">№ 0373200017526000204)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after="53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составе жалобы Заявитель указывает, что при формировании извещения Заказчиком выбран неверный код по общероссийскому классификатору продукции по видам экономической деятельности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ОКПД2) </w:t>
      </w:r>
      <w:r>
        <w:rPr>
          <w:rStyle w:val="CharStyle12"/>
          <w:lang w:val="en-US" w:eastAsia="en-US"/>
        </w:rPr>
        <w:t xml:space="preserve">28.23.25.000 </w:t>
      </w:r>
      <w:r>
        <w:rPr>
          <w:rStyle w:val="CharStyle12"/>
        </w:rPr>
        <w:t>«Части и принадлежности прочих офисных машин».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 мнению Заявителя, отраженного в составе жалобы, наиболее соответствующим коду ОКПД2 закупаемым товарам является код ОКПД2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>«Элементы замены типовые устройств ввода и вывода».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этом Заявитель также указывает, что вышеуказанное нарушение повлекло за собой неправомерное установление преимущества предусмотренного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23.12.2024 №1875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№1875).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ч.2 ст.14 Закона о контрактной системе Правительство Российской Федерации: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41" w:bottom="1256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П.1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иностранные лица), по перечню согласно приложению </w:t>
      </w:r>
      <w:r>
        <w:rPr>
          <w:rStyle w:val="CharStyle12"/>
          <w:lang w:val="en-US" w:eastAsia="en-US"/>
        </w:rPr>
        <w:t xml:space="preserve">№ 1, </w:t>
      </w:r>
      <w:r>
        <w:rPr>
          <w:rStyle w:val="CharStyle12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53" w:left="1106" w:header="0" w:footer="225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</w:t>
      </w:r>
      <w:r>
        <w:rPr>
          <w:rStyle w:val="CharStyle12"/>
          <w:sz w:val="24"/>
          <w:szCs w:val="24"/>
          <w:lang w:val="en-US" w:eastAsia="en-US"/>
        </w:rPr>
        <w:t>2026-23077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>№ 2;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соответствии с пп. «д»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Постановления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 xml:space="preserve">позиции приложения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 xml:space="preserve">и 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данному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2"/>
          <w:lang w:val="en-US" w:eastAsia="en-US"/>
        </w:rPr>
        <w:t xml:space="preserve">034-2014 </w:t>
      </w:r>
      <w:r>
        <w:rPr>
          <w:rStyle w:val="CharStyle12"/>
        </w:rPr>
        <w:t xml:space="preserve">(КПЕС </w:t>
      </w:r>
      <w:r>
        <w:rPr>
          <w:rStyle w:val="CharStyle12"/>
          <w:lang w:val="en-US" w:eastAsia="en-US"/>
        </w:rPr>
        <w:t xml:space="preserve">2008)», </w:t>
      </w:r>
      <w:r>
        <w:rPr>
          <w:rStyle w:val="CharStyle12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12"/>
          <w:lang w:val="en-US" w:eastAsia="en-US"/>
        </w:rPr>
        <w:t xml:space="preserve">034-2014 </w:t>
      </w:r>
      <w:r>
        <w:rPr>
          <w:rStyle w:val="CharStyle12"/>
        </w:rPr>
        <w:t xml:space="preserve">(КПЕС </w:t>
      </w:r>
      <w:r>
        <w:rPr>
          <w:rStyle w:val="CharStyle12"/>
          <w:lang w:val="en-US" w:eastAsia="en-US"/>
        </w:rPr>
        <w:t>2008)».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согласно описанию объекта закупки Заказчиком закупаются расходные материалы: «Картридж для факсимильных аппаратов» кода ОКПД2 </w:t>
      </w:r>
      <w:r>
        <w:rPr>
          <w:rStyle w:val="CharStyle12"/>
          <w:lang w:val="en-US" w:eastAsia="en-US"/>
        </w:rPr>
        <w:t xml:space="preserve">28.23.25.000, </w:t>
      </w:r>
      <w:r>
        <w:rPr>
          <w:rStyle w:val="CharStyle12"/>
        </w:rPr>
        <w:t xml:space="preserve">при этом в отношении указанных товаров Заказчиком установлено преимущество закупок товаров, происходящих из иностранных государств, предусмотренных Постановлением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  <w:color w:val="C9211E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код ОКПД2 выбран Заказчиком в полном соответствии с решением и предписанием Московского УФАС России. Ранее Заказчиком была проведена закупка </w:t>
      </w:r>
      <w:r>
        <w:rPr>
          <w:rStyle w:val="CharStyle12"/>
          <w:lang w:val="en-US" w:eastAsia="en-US"/>
        </w:rPr>
        <w:t xml:space="preserve">№ 0373200017526000116 </w:t>
      </w:r>
      <w:r>
        <w:rPr>
          <w:rStyle w:val="CharStyle12"/>
        </w:rPr>
        <w:t xml:space="preserve">с кодом ОКПД2 </w:t>
      </w:r>
      <w:r>
        <w:rPr>
          <w:rStyle w:val="CharStyle12"/>
          <w:lang w:val="en-US" w:eastAsia="en-US"/>
        </w:rPr>
        <w:t xml:space="preserve">26.20.40.120. </w:t>
      </w:r>
      <w:r>
        <w:rPr>
          <w:rStyle w:val="CharStyle12"/>
        </w:rPr>
        <w:t xml:space="preserve">По жалобе ООО «Велес» решением Московского УФАС от </w:t>
      </w:r>
      <w:r>
        <w:rPr>
          <w:rStyle w:val="CharStyle12"/>
          <w:lang w:val="en-US" w:eastAsia="en-US"/>
        </w:rPr>
        <w:t xml:space="preserve">07.04.2026 </w:t>
      </w:r>
      <w:r>
        <w:rPr>
          <w:rStyle w:val="CharStyle12"/>
        </w:rPr>
        <w:t xml:space="preserve">по делу </w:t>
      </w:r>
      <w:r>
        <w:rPr>
          <w:rStyle w:val="CharStyle12"/>
          <w:lang w:val="en-US" w:eastAsia="en-US"/>
        </w:rPr>
        <w:t xml:space="preserve">№ 077/06/105-4133/2026 </w:t>
      </w:r>
      <w:r>
        <w:rPr>
          <w:rStyle w:val="CharStyle12"/>
        </w:rPr>
        <w:t>установлено, что: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код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>соответствует картриджам для струйных, каплеструйных и сублимационных МФУ;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код </w:t>
      </w:r>
      <w:r>
        <w:rPr>
          <w:rStyle w:val="CharStyle12"/>
          <w:lang w:val="en-US" w:eastAsia="en-US"/>
        </w:rPr>
        <w:t xml:space="preserve">28.23.25.000 </w:t>
      </w:r>
      <w:r>
        <w:rPr>
          <w:rStyle w:val="CharStyle12"/>
        </w:rPr>
        <w:t>соответствует картриджам для МФУ с лазерной технологией печати.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Заказчику выдано предписание, которое исполнено путем отмены предыдущей закупки и публикации новой закупки </w:t>
      </w:r>
      <w:r>
        <w:rPr>
          <w:rStyle w:val="CharStyle12"/>
          <w:lang w:val="en-US" w:eastAsia="en-US"/>
        </w:rPr>
        <w:t xml:space="preserve">№ 0373200017526000204 </w:t>
      </w:r>
      <w:r>
        <w:rPr>
          <w:rStyle w:val="CharStyle12"/>
        </w:rPr>
        <w:t xml:space="preserve">с кодом </w:t>
      </w:r>
      <w:r>
        <w:rPr>
          <w:rStyle w:val="CharStyle12"/>
          <w:lang w:val="en-US" w:eastAsia="en-US"/>
        </w:rPr>
        <w:t xml:space="preserve">28.23.25.000 </w:t>
      </w:r>
      <w:r>
        <w:rPr>
          <w:rStyle w:val="CharStyle12"/>
        </w:rPr>
        <w:t>в соответствии с выводами контрольного органа.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принятия решения Комиссии Управления исходит из того, что 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 При этом заказчик самостоятельно определяет код ОКПД2 как наиболее подходящий объекту закупки, исходя из собственных потребностей и особенностей деятельности.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При этом Комиссия Управления считает необходимым отметить, что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товара, работы, услуги.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Комиссией Управления установлено, что Заказчиком приобретаются картриджи, в том числе картриджи для электрографических печатающих устройств.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При принятии решения Комиссия Управления исходит из того, что 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Вместе с тем Комиссия Управления отмечает, что в классификаторе ОКПД2 присутствует следующее детализирующее пояснение кода ОКПД2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>«Элементы замены типовые устройств ввода и вывода»: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  <w:i/>
          <w:iCs/>
        </w:rPr>
        <w:t>«Эта группировка в том числе включает: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  <w:i/>
          <w:iCs/>
        </w:rPr>
        <w:t>картриджи однокомпонентные (в одном корпусе совмещен блок фотобарабана и тонерный отсек);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4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  <w:i/>
          <w:iCs/>
        </w:rPr>
        <w:t>картриджи и прочие расходные материалы для сублимационных принтеров»;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  <w:i/>
          <w:iCs/>
        </w:rPr>
        <w:t>картриджи для струйных и каплеструйных принтеров и многофункциональных печатающих устройств;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  <w:i/>
          <w:iCs/>
        </w:rPr>
        <w:t>емкости с тонером и тонерные отсеки для лазерных и светодиодных принтеров и многофункциональных печатающих устройств;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  <w:i/>
          <w:iCs/>
        </w:rPr>
        <w:t>фотопроводниковые блоки формирования изображения и блоки переноса (барабаны, ленты) для лазерных и светодиодных принтеров и многофункциональных печатающих устройств;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  <w:i/>
          <w:iCs/>
        </w:rPr>
        <w:t>емкости с магнитным носителем порошка (девелопер) для лазерных и светодиодных принтеров и многофункциональных печатающих устройств;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  <w:i/>
          <w:iCs/>
        </w:rPr>
        <w:t>емкости с чернилами для струйных, каплеструйных и твердочернильных принтеров и многофункциональных печатающих устройств, красящие ленты для матричных и литерных принтеров;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  <w:i/>
          <w:iCs/>
        </w:rPr>
        <w:t>средства очистки системы печати для струйных, каплеструйных и твердочернильных принтеров и многофункциональных печатающих устройств, блоки сбора отработанного тонера для лазерных и светодиодных принтеров и многофункциональных печатающих устройств»</w:t>
      </w:r>
      <w:r>
        <w:rPr>
          <w:rStyle w:val="CharStyle12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Таким образом, код ОКПД2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 xml:space="preserve">«Элементы замены типовые устройств ввода и вывода», соответствует картриджам для струйных, каплеструйных и сублимационных многофункциональных печатающих устройств, что не соответствует картриджам с лазерной технологией печати, для которых наиболее соответствующим кодом является код ОКПД2 </w:t>
      </w:r>
      <w:r>
        <w:rPr>
          <w:rStyle w:val="CharStyle12"/>
          <w:lang w:val="en-US" w:eastAsia="en-US"/>
        </w:rPr>
        <w:t xml:space="preserve">28.23.25.000, </w:t>
      </w:r>
      <w:r>
        <w:rPr>
          <w:rStyle w:val="CharStyle12"/>
        </w:rPr>
        <w:t xml:space="preserve">в отношении которого следует применять преимущество, предусмотренное положениями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Таким образом, Комиссия Управления приходит к выводу, что данный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8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.Признать жалобу ООО «Квазар» на действия Управы района Марфино г. Москвы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10" w:val="left"/>
        </w:tabs>
        <w:bidi w:val="0"/>
        <w:spacing w:before="0" w:after="280" w:line="240" w:lineRule="auto"/>
        <w:ind w:left="0" w:right="0" w:firstLine="640"/>
        <w:jc w:val="both"/>
      </w:pPr>
      <w:r>
        <w:rPr>
          <w:rStyle w:val="CharStyle12"/>
        </w:rPr>
        <w:t>.Снять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 xml:space="preserve">АПК РФ,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(трех) месяцев с даты его принятия.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38" w:right="541" w:bottom="1354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4470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700000000000003pt;margin-top:26.pt;width:145.20000000000002pt;height:19.900000000000002pt;z-index:-125829375;mso-wrap-distance-left:0;mso-wrap-distance-top:26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4335" distB="0" distL="0" distR="1804670" simplePos="0" relativeHeight="125829380" behindDoc="0" locked="0" layoutInCell="1" allowOverlap="1">
            <wp:simplePos x="0" y="0"/>
            <wp:positionH relativeFrom="page">
              <wp:posOffset>3091815</wp:posOffset>
            </wp:positionH>
            <wp:positionV relativeFrom="paragraph">
              <wp:posOffset>394335</wp:posOffset>
            </wp:positionV>
            <wp:extent cx="347345" cy="39624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492125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30000000000001pt;margin-top:38.7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4470" distL="0" distR="0" simplePos="0" relativeHeight="125829381" behindDoc="0" locked="0" layoutInCell="1" allowOverlap="1">
                <wp:simplePos x="0" y="0"/>
                <wp:positionH relativeFrom="page">
                  <wp:posOffset>6075680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78.40000000000003pt;margin-top:26.pt;width:89.5pt;height:19.900000000000002pt;z-index:-125829372;mso-wrap-distance-left:0;mso-wrap-distance-top:26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  <w:color w:val="292929"/>
        </w:rPr>
        <w:t xml:space="preserve">Сертификат № </w:t>
      </w:r>
      <w:r>
        <w:rPr>
          <w:rStyle w:val="CharStyle23"/>
          <w:color w:val="5E5E5E"/>
        </w:rPr>
        <w:t>00831</w:t>
      </w:r>
      <w:r>
        <w:rPr>
          <w:rStyle w:val="CharStyle23"/>
          <w:lang w:val="en-US" w:eastAsia="en-US"/>
        </w:rPr>
        <w:t>B7545C61281C4BAB156778A683BFB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292929"/>
        </w:rPr>
        <w:t xml:space="preserve">17.07.2025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3101340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30000000000001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Хлебникова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ХЛЕБНИКОВА АНАСТАСИЯ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00BDC586F2C22E864181858031D16A1</w:t>
      </w:r>
      <w:r>
        <w:rPr>
          <w:rStyle w:val="CharStyle23"/>
          <w:color w:val="292929"/>
        </w:rPr>
        <w:t>1</w:t>
      </w:r>
      <w:r>
        <w:rPr>
          <w:rStyle w:val="CharStyle23"/>
        </w:rPr>
        <w:t>13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3"/>
        </w:rPr>
        <w:t>Действителен с 31.1</w:t>
      </w:r>
      <w:r>
        <w:rPr>
          <w:rStyle w:val="CharStyle23"/>
          <w:color w:val="5E5E5E"/>
        </w:rPr>
        <w:t xml:space="preserve">0.2025 по </w:t>
      </w:r>
      <w:r>
        <w:rPr>
          <w:rStyle w:val="CharStyle23"/>
        </w:rPr>
        <w:t>24.01.2027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3101340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3561715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80.44999999999999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30000000000001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ПЕРЕВЕРЗЕВА ЕЛИЗАВЕТА СЕРГЕЕВНА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00FFF3ACD3A01A73F4C680C3941</w:t>
      </w:r>
      <w:r>
        <w:rPr>
          <w:rStyle w:val="CharStyle23"/>
        </w:rPr>
        <w:t>ЕЗСА026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840" w:line="266" w:lineRule="auto"/>
        <w:ind w:right="0" w:firstLine="0"/>
        <w:jc w:val="left"/>
      </w:pPr>
      <w:r>
        <w:rPr>
          <w:rStyle w:val="CharStyle23"/>
        </w:rPr>
        <w:t xml:space="preserve">Действителен с 11.12.2025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06.03.2027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Исп.Переверзева Е.С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532" w:bottom="149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2026-23077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2026-23077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10214610</wp:posOffset>
              </wp:positionV>
              <wp:extent cx="73152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2026-23077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804.30000000000007pt;width:57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2026-23077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2026-23077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6.75pt;margin-top:794.70000000000005pt;width:57.100000000000001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2026-23077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3917950</wp:posOffset>
              </wp:positionH>
              <wp:positionV relativeFrom="page">
                <wp:posOffset>258445</wp:posOffset>
              </wp:positionV>
              <wp:extent cx="7620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5pt;margin-top:20.350000000000001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539750</wp:posOffset>
              </wp:positionV>
              <wp:extent cx="79375" cy="635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6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8.75pt;margin-top:42.5pt;width:6.25pt;height:0.5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3917950</wp:posOffset>
              </wp:positionH>
              <wp:positionV relativeFrom="page">
                <wp:posOffset>258445</wp:posOffset>
              </wp:positionV>
              <wp:extent cx="76200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8.5pt;margin-top:20.350000000000001pt;width:6.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