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24510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г. Нижний Новгород, 603000</w:t>
        <w:br/>
        <w:t>тел. (831) 431-73-73, (831) 431-73-83</w:t>
        <w:br/>
      </w:r>
      <w:r>
        <w:rPr>
          <w:rStyle w:val="CharStyle6"/>
          <w:u w:val="single"/>
          <w:lang w:val="en-US" w:eastAsia="en-US"/>
        </w:rPr>
        <w:t>e-mail: to52@,</w:t>
      </w:r>
      <w:r>
        <w:rPr>
          <w:rStyle w:val="CharStyle6"/>
          <w:u w:val="single"/>
          <w:lang w:val="en-US" w:eastAsia="en-US"/>
        </w:rPr>
        <w:t>fas.gov.ru</w:t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0"/>
          <w:u w:val="none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  <w:u w:val="none"/>
        </w:rPr>
        <w:t>2.0</w:t>
      </w:r>
      <w:r>
        <w:rPr>
          <w:rStyle w:val="CharStyle10"/>
        </w:rPr>
        <w:t>5.2026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ИК/9521/2</w:t>
      </w:r>
      <w:r>
        <w:rPr>
          <w:rStyle w:val="CharStyle10"/>
          <w:u w:val="none"/>
        </w:rPr>
        <w:t>6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rStyle w:val="CharStyle13"/>
          <w:rFonts w:ascii="Times New Roman" w:eastAsia="Times New Roman" w:hAnsi="Times New Roman" w:cs="Times New Roman"/>
          <w:color w:val="45609D"/>
          <w:sz w:val="19"/>
          <w:szCs w:val="19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7653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765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6"/>
          <w:sz w:val="28"/>
          <w:szCs w:val="28"/>
        </w:rPr>
        <w:t xml:space="preserve">РОСЭЛТОРГ (АО«ЕЭТП») </w:t>
      </w:r>
      <w:r>
        <w:fldChar w:fldCharType="begin"/>
      </w:r>
      <w:r>
        <w:rPr/>
        <w:instrText> HYPERLINK "mailto:info@roseltorg.ru" </w:instrText>
      </w:r>
      <w:r>
        <w:fldChar w:fldCharType="separate"/>
      </w:r>
      <w:r>
        <w:rPr>
          <w:rStyle w:val="CharStyle16"/>
          <w:sz w:val="28"/>
          <w:szCs w:val="28"/>
          <w:lang w:val="en-US" w:eastAsia="en-US"/>
        </w:rPr>
        <w:t>info@roseltorg.ru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6"/>
          <w:sz w:val="28"/>
          <w:szCs w:val="28"/>
        </w:rPr>
        <w:t>ОБЩЕСТВО С ОГРАНИЧЕННОЙ ОТВЕТСТВЕННОСТЬЮ "ЦЕНТРСБЫТ"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6"/>
          <w:sz w:val="28"/>
          <w:szCs w:val="28"/>
        </w:rPr>
        <w:t>445037, Самарская обл., г. о. Тольятти, г.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6"/>
          <w:sz w:val="28"/>
          <w:szCs w:val="28"/>
        </w:rPr>
        <w:t>Тольятти, ул. Юбилейная, 31Е, пом.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6"/>
          <w:sz w:val="28"/>
          <w:szCs w:val="28"/>
        </w:rPr>
        <w:t>НП?5006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"mailto:tender_kompani@mail.ru" </w:instrText>
      </w:r>
      <w:r>
        <w:fldChar w:fldCharType="separate"/>
      </w:r>
      <w:r>
        <w:rPr>
          <w:rStyle w:val="CharStyle16"/>
          <w:sz w:val="28"/>
          <w:szCs w:val="28"/>
          <w:lang w:val="en-US" w:eastAsia="en-US"/>
        </w:rPr>
        <w:t>tender_kompani@mail.ru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6"/>
          <w:sz w:val="28"/>
          <w:szCs w:val="28"/>
        </w:rPr>
        <w:t>Приволжская транспортная прокуратура 603059, г. Н.новгород, ул. Анатолия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6"/>
          <w:sz w:val="28"/>
          <w:szCs w:val="28"/>
        </w:rPr>
        <w:t>Григорьева, д.2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89" w:right="608" w:bottom="1395" w:left="1135" w:header="0" w:footer="3" w:gutter="0"/>
          <w:pgNumType w:start="1"/>
          <w:cols w:num="2" w:space="720" w:equalWidth="0">
            <w:col w:w="4219" w:space="1051"/>
            <w:col w:w="4886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"mailto:omts@490.mailop.ru" </w:instrText>
      </w:r>
      <w:r>
        <w:fldChar w:fldCharType="separate"/>
      </w:r>
      <w:r>
        <w:rPr>
          <w:rStyle w:val="CharStyle16"/>
          <w:sz w:val="28"/>
          <w:szCs w:val="28"/>
          <w:lang w:val="en-US" w:eastAsia="en-US"/>
        </w:rPr>
        <w:t>omts@490.mailop.ru</w:t>
      </w:r>
      <w:r>
        <w:fldChar w:fldCharType="end"/>
      </w:r>
    </w:p>
    <w:p>
      <w:pPr>
        <w:widowControl w:val="0"/>
        <w:spacing w:before="84" w:after="8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62" w:right="0" w:bottom="94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6"/>
          <w:b/>
          <w:bCs/>
        </w:rPr>
        <w:t>Решение по делу №052/06/105-1134/2026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6"/>
          <w:b/>
          <w:bCs/>
        </w:rPr>
        <w:t>о проведении проверки соблюдения законодательства</w:t>
        <w:br/>
        <w:t>о контрактной системе в сфере закупок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46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12700</wp:posOffset>
                </wp:positionV>
                <wp:extent cx="1197610" cy="23495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761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07 мая 2026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800000000000004pt;margin-top:1.pt;width:94.299999999999997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07 мая 2026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6"/>
        </w:rPr>
        <w:t>г. Нижний Новгород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Канаевой И.С. - председателя Комиссии, заместителя руководителя управления, Королевой И.А. - члена Комиссии, начальника отдела контроля торгов,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778510</wp:posOffset>
                </wp:positionH>
                <wp:positionV relativeFrom="paragraph">
                  <wp:posOffset>228600</wp:posOffset>
                </wp:positionV>
                <wp:extent cx="1280160" cy="1197610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1976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при участии: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-Косенкова М.С.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-Пательчука Д.Ю.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-Фроловой К.А.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61.300000000000004pt;margin-top:18.pt;width:100.8pt;height:94.299999999999997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при участии: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-Косенкова М.С.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-Пательчука Д.Ю.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-Фроловой К.А.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6"/>
        </w:rPr>
        <w:t>Колденкова Д.А. - члена Комиссии, специалиста-эксперта отдела контроля торгов,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02" w:val="left"/>
        </w:tabs>
        <w:bidi w:val="0"/>
        <w:spacing w:before="0" w:after="0" w:line="240" w:lineRule="auto"/>
        <w:ind w:left="420" w:right="0" w:firstLine="140"/>
        <w:jc w:val="both"/>
      </w:pPr>
      <w:r>
        <w:rPr>
          <w:rStyle w:val="CharStyle16"/>
        </w:rPr>
        <w:t>представителя Приволжской транспортной прокуратуры по доверенности от 23.01.2026 № 10/1-02-2026,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02" w:val="left"/>
          <w:tab w:pos="2479" w:val="left"/>
          <w:tab w:pos="3319" w:val="left"/>
          <w:tab w:pos="5119" w:val="left"/>
          <w:tab w:pos="5700" w:val="left"/>
          <w:tab w:pos="7500" w:val="left"/>
        </w:tabs>
        <w:bidi w:val="0"/>
        <w:spacing w:before="0" w:after="0" w:line="240" w:lineRule="auto"/>
        <w:ind w:left="0" w:right="0" w:firstLine="420"/>
        <w:jc w:val="both"/>
      </w:pPr>
      <w:r>
        <w:rPr>
          <w:rStyle w:val="CharStyle16"/>
        </w:rPr>
        <w:t>представителя</w:t>
        <w:tab/>
        <w:t>ООО</w:t>
        <w:tab/>
        <w:t>«ЦентрСбыт»</w:t>
        <w:tab/>
        <w:t>по</w:t>
        <w:tab/>
        <w:t>доверенности</w:t>
        <w:tab/>
        <w:t>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20"/>
        <w:jc w:val="both"/>
      </w:pPr>
      <w:r>
        <w:rPr>
          <w:rStyle w:val="CharStyle16"/>
        </w:rPr>
        <w:t>05.05.2026 б/н,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2249" w:val="left"/>
          <w:tab w:pos="3089" w:val="left"/>
          <w:tab w:pos="4889" w:val="left"/>
          <w:tab w:pos="5470" w:val="left"/>
          <w:tab w:pos="7270" w:val="left"/>
        </w:tabs>
        <w:bidi w:val="0"/>
        <w:spacing w:before="0" w:after="0" w:line="240" w:lineRule="auto"/>
        <w:ind w:left="0" w:right="0" w:firstLine="420"/>
        <w:jc w:val="both"/>
      </w:pPr>
      <w:r>
        <w:rPr>
          <w:rStyle w:val="CharStyle16"/>
        </w:rPr>
        <w:t>представителя</w:t>
        <w:tab/>
        <w:t>ООО</w:t>
        <w:tab/>
        <w:t>«ЦентрСбыт»</w:t>
        <w:tab/>
        <w:t>по</w:t>
        <w:tab/>
        <w:t>доверенности</w:t>
        <w:tab/>
        <w:t>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20"/>
        <w:jc w:val="both"/>
      </w:pPr>
      <w:r>
        <w:rPr>
          <w:rStyle w:val="CharStyle16"/>
        </w:rPr>
        <w:t>05.05.2026 б/н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>рассмотрев жалобу ООО «ЦентрСбыт» (далее - Заявитель) на действия Приволжской транспортной прокуратуры (далее - Заказчик) при проведении открытого электронного конкурса по объекту закупки: «Приобретение мебели для нужд Приволжской транспортной прокуратуры», номер извещения 0332100017726000019 (далее - Закупка),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6"/>
        </w:rPr>
        <w:t>установила: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420"/>
        <w:jc w:val="both"/>
      </w:pPr>
      <w:r>
        <w:rPr>
          <w:rStyle w:val="CharStyle16"/>
        </w:rPr>
        <w:t>в Управление Федеральной антимонопольной службы по Нижегородской области</w:t>
      </w:r>
    </w:p>
    <w:p>
      <w:pPr>
        <w:widowControl w:val="0"/>
        <w:spacing w:line="1" w:lineRule="exact"/>
      </w:pPr>
      <w:r>
        <w:drawing>
          <wp:anchor distT="50800" distB="0" distL="0" distR="0" simplePos="0" relativeHeight="125829382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50800</wp:posOffset>
            </wp:positionV>
            <wp:extent cx="1298575" cy="41465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298575" cy="4146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 xml:space="preserve">(далее также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Нижегородское УФАС России, Управление) поступила жалоба Заявителя на действия (бездействие) заказчика, контрактной службы, контрактного управляющего, уполномоченного органа, уполномоченного учреждения в части установленных положений извещения об осуществлении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Нижегородское УФАС России приняло к рассмотрению жалобу Заявителя и назначило её рассмотрение на </w:t>
      </w:r>
      <w:r>
        <w:rPr>
          <w:rStyle w:val="CharStyle16"/>
          <w:lang w:val="en-US" w:eastAsia="en-US"/>
        </w:rPr>
        <w:t xml:space="preserve">07.05.2026 </w:t>
      </w:r>
      <w:r>
        <w:rPr>
          <w:rStyle w:val="CharStyle16"/>
        </w:rPr>
        <w:t xml:space="preserve">(уведомление о рассмотрении жалобы от </w:t>
      </w:r>
      <w:r>
        <w:rPr>
          <w:rStyle w:val="CharStyle16"/>
          <w:lang w:val="en-US" w:eastAsia="en-US"/>
        </w:rPr>
        <w:t xml:space="preserve">05.05.2026 </w:t>
      </w:r>
      <w:r>
        <w:rPr>
          <w:rStyle w:val="CharStyle16"/>
        </w:rPr>
        <w:t>№ИК/9071/26).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По существу жалоба рассмотрена </w:t>
      </w:r>
      <w:r>
        <w:rPr>
          <w:rStyle w:val="CharStyle16"/>
          <w:lang w:val="en-US" w:eastAsia="en-US"/>
        </w:rPr>
        <w:t xml:space="preserve">07.05.2026 </w:t>
      </w:r>
      <w:r>
        <w:rPr>
          <w:rStyle w:val="CharStyle16"/>
        </w:rPr>
        <w:t>посредством видео-конференц-связи с участием представителей сторон.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Комиссия Управления Федеральной антимонопольной службы по Нижегородской области по контролю в сфере закупок, исследовав материалы дела и осуществив внеплановую проверку рассматриваемой Закупки в соответствии с требованиями части </w:t>
      </w:r>
      <w:r>
        <w:rPr>
          <w:rStyle w:val="CharStyle16"/>
          <w:lang w:val="en-US" w:eastAsia="en-US"/>
        </w:rPr>
        <w:t xml:space="preserve">15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99 </w:t>
      </w:r>
      <w:r>
        <w:rPr>
          <w:rStyle w:val="CharStyle16"/>
        </w:rPr>
        <w:t>Закона о контрактной системе, пришла к следующим выводам.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4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  <w:lang w:val="en-US" w:eastAsia="en-US"/>
        </w:rPr>
        <w:t xml:space="preserve">30.03.2026 </w:t>
      </w:r>
      <w:r>
        <w:rPr>
          <w:rStyle w:val="CharStyle16"/>
        </w:rPr>
        <w:t xml:space="preserve">в единой информационной системе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ЕИС) и размещено извещение о проведении Закупки;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9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способ определения поставщика (подрядчика, исполнителя)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>открытый электронный аукцион;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57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начальная (максимальная) цена контракта </w:t>
      </w:r>
      <w:r>
        <w:rPr>
          <w:rStyle w:val="CharStyle16"/>
          <w:lang w:val="en-US" w:eastAsia="en-US"/>
        </w:rPr>
        <w:t xml:space="preserve">— 17 153 560,45 </w:t>
      </w:r>
      <w:r>
        <w:rPr>
          <w:rStyle w:val="CharStyle16"/>
        </w:rPr>
        <w:t>руб.;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57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дата окончания срока подачи заявок </w:t>
      </w:r>
      <w:r>
        <w:rPr>
          <w:rStyle w:val="CharStyle16"/>
          <w:lang w:val="en-US" w:eastAsia="en-US"/>
        </w:rPr>
        <w:t>- 17.04.2026;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дата подведения итогов определения поставщика (подрядчика, исполнителя) </w:t>
      </w:r>
      <w:r>
        <w:rPr>
          <w:rStyle w:val="CharStyle16"/>
          <w:lang w:val="en-US" w:eastAsia="en-US"/>
        </w:rPr>
        <w:t>— 21.04.2026.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>По мнению Заявителя его права и законные интересы нарушены действиями Заказчика, неправомерно принявшего решение о признании Заявителя уклонившимся от заключения контракта.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>Полный текст жалобы и приложения к ней имеются в материалах дела.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>Заказчик представил письменные возражения, в которых возражал против доводов жалобы.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>В ходе заседания представитель Заказчика свою позицию поддержал, отметив отсутствие нарушений при проведении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>Полный текст возражений по жалобе имеется в материалах дела.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>Комиссия Нижегородского УФАС России, изучив представленные документы и сведения, приходит к следующему.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В соответствии с частью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 </w:t>
      </w:r>
      <w:r>
        <w:rPr>
          <w:rStyle w:val="CharStyle16"/>
        </w:rPr>
        <w:t xml:space="preserve">Федерального закона от </w:t>
      </w:r>
      <w:r>
        <w:rPr>
          <w:rStyle w:val="CharStyle16"/>
          <w:lang w:val="en-US" w:eastAsia="en-US"/>
        </w:rPr>
        <w:t xml:space="preserve">05.04.2013 № </w:t>
      </w:r>
      <w:r>
        <w:rPr>
          <w:rStyle w:val="CharStyle16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Закон о контрактной системе) заказчиком, за исключением случаев, предусмотренных частью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96 </w:t>
      </w:r>
      <w:r>
        <w:rPr>
          <w:rStyle w:val="CharStyle16"/>
        </w:rPr>
        <w:t>Закона о контрактной системе, в извещении об осуществлении закупки, документации о закупке, проекте контракта, приглашении должно быть установлено требование обеспечения исполнения контракта.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Согласно части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96 </w:t>
      </w:r>
      <w:r>
        <w:rPr>
          <w:rStyle w:val="CharStyle16"/>
        </w:rPr>
        <w:t xml:space="preserve">Закона о контрактной системе исполнение контракта, гарантийные обязательства могут обеспечиваться предоставлением независимой гарантии, соответствующей требованиям статьи </w:t>
      </w:r>
      <w:r>
        <w:rPr>
          <w:rStyle w:val="CharStyle16"/>
          <w:lang w:val="en-US" w:eastAsia="en-US"/>
        </w:rPr>
        <w:t xml:space="preserve">45 </w:t>
      </w:r>
      <w:r>
        <w:rPr>
          <w:rStyle w:val="CharStyle16"/>
        </w:rPr>
        <w:t>Закона о контрактной системе,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контракта, гарантийных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 xml:space="preserve">обязательств, срок действия независимой гарантии определяются в соответствии с требованиями Закона о контрактной системе участником закупки, с которым заключается контракт, самостоятельно. При этом срок действия независимой гарантии должен превышать предусмотренный контрактом срок исполнения обязательств, которые должны быть обеспечены такой независимой гарантией, не менее чем на один месяц, в том числе в случае его изменения в соответствии со статьей </w:t>
      </w:r>
      <w:r>
        <w:rPr>
          <w:rStyle w:val="CharStyle16"/>
          <w:lang w:val="en-US" w:eastAsia="en-US"/>
        </w:rPr>
        <w:t xml:space="preserve">95 </w:t>
      </w:r>
      <w:r>
        <w:rPr>
          <w:rStyle w:val="CharStyle16"/>
        </w:rPr>
        <w:t>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Частью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96 </w:t>
      </w:r>
      <w:r>
        <w:rPr>
          <w:rStyle w:val="CharStyle16"/>
        </w:rPr>
        <w:t>Закона о контрактной системе установлено, что контракт заключается после предоставления участником закупки, с которым заключается контракт, обеспечения исполнения контракта в соответствии с Законом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45 </w:t>
      </w:r>
      <w:r>
        <w:rPr>
          <w:rStyle w:val="CharStyle16"/>
        </w:rPr>
        <w:t xml:space="preserve">Закона о контрактной системе установлено, что основанием для отказа в принятии независимой гарантии заказчиком является несоответствие независимой гарантии требованиям, предусмотренным частями </w:t>
      </w:r>
      <w:r>
        <w:rPr>
          <w:rStyle w:val="CharStyle16"/>
          <w:lang w:val="en-US" w:eastAsia="en-US"/>
        </w:rPr>
        <w:t xml:space="preserve">2, 3 </w:t>
      </w:r>
      <w:r>
        <w:rPr>
          <w:rStyle w:val="CharStyle16"/>
        </w:rPr>
        <w:t xml:space="preserve">и </w:t>
      </w:r>
      <w:r>
        <w:rPr>
          <w:rStyle w:val="CharStyle16"/>
          <w:lang w:val="en-US" w:eastAsia="en-US"/>
        </w:rPr>
        <w:t xml:space="preserve">8.2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45 </w:t>
      </w:r>
      <w:r>
        <w:rPr>
          <w:rStyle w:val="CharStyle16"/>
        </w:rPr>
        <w:t>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Согласно пункту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45 </w:t>
      </w:r>
      <w:r>
        <w:rPr>
          <w:rStyle w:val="CharStyle16"/>
        </w:rPr>
        <w:t xml:space="preserve">Закона о контрактной системе заказчики в качестве обеспечения заявок, исполнения контрактов, гарантийных обязательств принимают независимые гарантии, выданные банками, соответствующими требованиям, установленным Правительством Российской Федерации, и включенными в перечень, предусмотренный частью </w:t>
      </w:r>
      <w:r>
        <w:rPr>
          <w:rStyle w:val="CharStyle16"/>
          <w:lang w:val="en-US" w:eastAsia="en-US"/>
        </w:rPr>
        <w:t xml:space="preserve">1.2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45 </w:t>
      </w:r>
      <w:r>
        <w:rPr>
          <w:rStyle w:val="CharStyle16"/>
        </w:rPr>
        <w:t>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В силу части </w:t>
      </w:r>
      <w:r>
        <w:rPr>
          <w:rStyle w:val="CharStyle16"/>
          <w:lang w:val="en-US" w:eastAsia="en-US"/>
        </w:rPr>
        <w:t xml:space="preserve">1.2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45 </w:t>
      </w:r>
      <w:r>
        <w:rPr>
          <w:rStyle w:val="CharStyle16"/>
        </w:rPr>
        <w:t>Закона о контрактной системе перечень банков, соответствующих установленным требованиям, ведется федеральным органом исполнительной власти по регулированию контрактной системы в сфере закупок на основании сведений, полученных от Центрального банка Российской Федерации, и подлежит размещению на официальном сайте федерального органа исполнительной власти по регулированию контрактной системы в сфере закупок в информационно</w:t>
        <w:softHyphen/>
        <w:t>телекоммуникационной сети "Интернет". В случае выявления обстоятельств, свидетельствующих о соответствии банка, не включенного в перечень, установленным требованиям либо о несоответствии банка, включенного в перечень, установленным требованиям, такие сведения направляются Центральным банком Российской Федерации в федеральный орган исполнительной власти по регулированию контрактной системы в сфере закупок в течение пяти дней со дня выявления указанных обстоятельств для внесения соответствующих изменений в перечень.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Согласно части </w:t>
      </w:r>
      <w:r>
        <w:rPr>
          <w:rStyle w:val="CharStyle16"/>
          <w:lang w:val="en-US" w:eastAsia="en-US"/>
        </w:rPr>
        <w:t xml:space="preserve">8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45 </w:t>
      </w:r>
      <w:r>
        <w:rPr>
          <w:rStyle w:val="CharStyle16"/>
        </w:rPr>
        <w:t xml:space="preserve">Закона о контрактной системе независимая гарантия, используемая для целей Закона о контрактной системы, информация о ней и документы, предусмотренные частью </w:t>
      </w:r>
      <w:r>
        <w:rPr>
          <w:rStyle w:val="CharStyle16"/>
          <w:lang w:val="en-US" w:eastAsia="en-US"/>
        </w:rPr>
        <w:t xml:space="preserve">9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45 </w:t>
      </w:r>
      <w:r>
        <w:rPr>
          <w:rStyle w:val="CharStyle16"/>
        </w:rPr>
        <w:t xml:space="preserve">Закона о контрактной системе, должны быть включены в реестр независимых гарантий, размещенный в ЕИС, за исключением независимых гарантий, указанных в части </w:t>
      </w:r>
      <w:r>
        <w:rPr>
          <w:rStyle w:val="CharStyle16"/>
          <w:lang w:val="en-US" w:eastAsia="en-US"/>
        </w:rPr>
        <w:t xml:space="preserve">8.1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45 </w:t>
      </w:r>
      <w:r>
        <w:rPr>
          <w:rStyle w:val="CharStyle16"/>
        </w:rPr>
        <w:t xml:space="preserve">Закона о контрактной системе. Ведение такого реестра осуществляется путем включения в соответствии с порядком, предусмотренным частью </w:t>
      </w:r>
      <w:r>
        <w:rPr>
          <w:rStyle w:val="CharStyle16"/>
          <w:lang w:val="en-US" w:eastAsia="en-US"/>
        </w:rPr>
        <w:t xml:space="preserve">8.2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45 </w:t>
      </w:r>
      <w:r>
        <w:rPr>
          <w:rStyle w:val="CharStyle16"/>
        </w:rPr>
        <w:t>Закона о контрактной системе, таких информации и документов в реестр и присвоения номера реестровой записи. В течение одного рабочего дня после включения таких информации и документов в реестр независимых гарантий гарант направляет принципалу выписку из реестра независимых гарантий.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В соответствии с частью </w:t>
      </w:r>
      <w:r>
        <w:rPr>
          <w:rStyle w:val="CharStyle16"/>
          <w:lang w:val="en-US" w:eastAsia="en-US"/>
        </w:rPr>
        <w:t xml:space="preserve">8.2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45 </w:t>
      </w:r>
      <w:r>
        <w:rPr>
          <w:rStyle w:val="CharStyle16"/>
        </w:rPr>
        <w:t>Закона о контрактной системе дополнительные требования к независимой гарантии, используемой для целей Закона о контрактной системе, порядок ведения и размещения в ЕИС реестра независимых гарантий, порядок формирования и ведения закрытого реестра независимых гарантий, в том числе включения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в него информации, порядок и сроки предоставления выписок из него, типовая форма независимой гарантии, используемой для целей Закона о контрактной системе, форма требования об уплате денежной суммы по независимой гарантии устанавливаются Правительством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В соответствии с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постановления Правительства Российской Федерации от </w:t>
      </w:r>
      <w:r>
        <w:rPr>
          <w:rStyle w:val="CharStyle16"/>
          <w:lang w:val="en-US" w:eastAsia="en-US"/>
        </w:rPr>
        <w:t xml:space="preserve">08.11.2013 № 1005 </w:t>
      </w:r>
      <w:r>
        <w:rPr>
          <w:rStyle w:val="CharStyle16"/>
        </w:rPr>
        <w:t xml:space="preserve">«О независимых гарантиях, используемых для целей Федерального закона "О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Постановление </w:t>
      </w:r>
      <w:r>
        <w:rPr>
          <w:rStyle w:val="CharStyle16"/>
          <w:lang w:val="en-US" w:eastAsia="en-US"/>
        </w:rPr>
        <w:t xml:space="preserve">№ 1005) </w:t>
      </w:r>
      <w:r>
        <w:rPr>
          <w:rStyle w:val="CharStyle16"/>
        </w:rPr>
        <w:t>утверждены: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3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дополнительные требования к независимой гарантии, используемой для целей Закона о контрактной системы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Дополнительные требования);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перечень документов, представляемых заказчиком гаранту одновременно с требованием об осуществлении уплаты денежной суммы по независимой гарантии, правила ведения и размещения в ЕИС реестра независимых гарантий;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форма требования об осуществлении уплаты денежной суммы по независимой гарантии;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9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правила формирования и ведения закрытого реестра независимых гарантий;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типовая форма независимой гарантии, предоставляемой в качестве обеспечения заявки на участие в закупке товара, работы, услуги для обеспечения государственных и муниципальных нужд;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3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типовая форма независимой гарантии, предоставляемой в качестве обеспечения исполнения контракта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Типовая форма).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В силу части </w:t>
      </w:r>
      <w:r>
        <w:rPr>
          <w:rStyle w:val="CharStyle16"/>
          <w:lang w:val="en-US" w:eastAsia="en-US"/>
        </w:rPr>
        <w:t xml:space="preserve">11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45 </w:t>
      </w:r>
      <w:r>
        <w:rPr>
          <w:rStyle w:val="CharStyle16"/>
        </w:rPr>
        <w:t xml:space="preserve">Закона о контрактной системе гарант не позднее одного рабочего дня, следующего за датой выдачи независимой гарантии, или дня внесения изменений в условия независимой гарантии включает указанные в части </w:t>
      </w:r>
      <w:r>
        <w:rPr>
          <w:rStyle w:val="CharStyle16"/>
          <w:lang w:val="en-US" w:eastAsia="en-US"/>
        </w:rPr>
        <w:t xml:space="preserve">9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45 </w:t>
      </w:r>
      <w:r>
        <w:rPr>
          <w:rStyle w:val="CharStyle16"/>
        </w:rPr>
        <w:t>Закона о контрактной системе информацию и документы в реестр независимых гарантий либо в указанные сроки направляет в соответствии с порядком формирования и ведения закрытого реестра независимых гарантий информацию для включения в закрытый реестр независимых гарантий.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Установлено, что Заявителем в ходе осуществления закупки получено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банковских гарантии </w:t>
      </w:r>
      <w:r>
        <w:rPr>
          <w:rStyle w:val="CharStyle16"/>
          <w:lang w:val="en-US" w:eastAsia="en-US"/>
        </w:rPr>
        <w:t xml:space="preserve">— </w:t>
      </w:r>
      <w:r>
        <w:rPr>
          <w:rStyle w:val="CharStyle16"/>
        </w:rPr>
        <w:t>обсечения заявки и обеспечения исполнения контакта.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Указанные независимые гарантии соответствуют требованиям законодательства.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Согласно протоколу признания участника уклонившимся от заключения контракта от </w:t>
      </w:r>
      <w:r>
        <w:rPr>
          <w:rStyle w:val="CharStyle16"/>
          <w:lang w:val="en-US" w:eastAsia="en-US"/>
        </w:rPr>
        <w:t xml:space="preserve">30.04.2026 № </w:t>
      </w:r>
      <w:r>
        <w:rPr>
          <w:rStyle w:val="CharStyle16"/>
        </w:rPr>
        <w:t xml:space="preserve">ППУ20_1 Заявитель признан уклонившимся от заключения контракта по следующему основанию: «невыполнение участником закупки требований ч.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ст. </w:t>
      </w:r>
      <w:r>
        <w:rPr>
          <w:rStyle w:val="CharStyle16"/>
          <w:lang w:val="en-US" w:eastAsia="en-US"/>
        </w:rPr>
        <w:t xml:space="preserve">37 </w:t>
      </w:r>
      <w:r>
        <w:rPr>
          <w:rStyle w:val="CharStyle16"/>
        </w:rPr>
        <w:t xml:space="preserve">Закона </w:t>
      </w:r>
      <w:r>
        <w:rPr>
          <w:rStyle w:val="CharStyle16"/>
          <w:lang w:val="en-US" w:eastAsia="en-US"/>
        </w:rPr>
        <w:t xml:space="preserve">№ </w:t>
      </w:r>
      <w:r>
        <w:rPr>
          <w:rStyle w:val="CharStyle16"/>
        </w:rPr>
        <w:t xml:space="preserve">44-ФЗ (непредоставление обеспечения согласно ч.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ст. </w:t>
      </w:r>
      <w:r>
        <w:rPr>
          <w:rStyle w:val="CharStyle16"/>
          <w:lang w:val="en-US" w:eastAsia="en-US"/>
        </w:rPr>
        <w:t xml:space="preserve">37 </w:t>
      </w:r>
      <w:r>
        <w:rPr>
          <w:rStyle w:val="CharStyle16"/>
        </w:rPr>
        <w:t xml:space="preserve">Закона </w:t>
      </w:r>
      <w:r>
        <w:rPr>
          <w:rStyle w:val="CharStyle16"/>
          <w:lang w:val="en-US" w:eastAsia="en-US"/>
        </w:rPr>
        <w:t xml:space="preserve">№ </w:t>
      </w:r>
      <w:r>
        <w:rPr>
          <w:rStyle w:val="CharStyle16"/>
        </w:rPr>
        <w:t xml:space="preserve">44-ФЗ), а именно отказ в принятии банковской гарантии (реестровый номер независимой банковской гарантии </w:t>
      </w:r>
      <w:r>
        <w:rPr>
          <w:rStyle w:val="CharStyle16"/>
          <w:lang w:val="en-US" w:eastAsia="en-US"/>
        </w:rPr>
        <w:t>04215257092355260007)».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Таким образом, в составе документов, направляемых вместе с подписанным со стороны Победителя закупки контрактом, Заявителем указана Независимая гарантия обеспечения заявок на участие в закупках.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Между тем как установлено материалами дела и не оспаривалось Сторонами представленная банковская гарантия, хоть и отвечала требованиям законодательства, но не отвечала требованиям документации по назначению, срокам действия и сумме.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При изложенных обстоятельствах у Заказчика отсутствовали основания для принятия независимой гарантии в качестве обеспечения исполнения контракта, в связи с чем</w:t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правомерно победитель закупки признан уклонившимся.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Учитывая изложенное, Комиссия приходит к выводу, что действия Заказчика, принявшего решение о признании Заявителя уклонившимся от заключения контракта, не противоречат положениям пункта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45 </w:t>
      </w:r>
      <w:r>
        <w:rPr>
          <w:rStyle w:val="CharStyle16"/>
        </w:rPr>
        <w:t>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>В связи с этим жалоба ООО «ЦентрСбыт» признаётся необоснованной.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На основании изложенного и руководствуясь частью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2, </w:t>
      </w: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15, </w:t>
      </w: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99, </w:t>
      </w:r>
      <w:r>
        <w:rPr>
          <w:rStyle w:val="CharStyle16"/>
        </w:rPr>
        <w:t xml:space="preserve">частью </w:t>
      </w:r>
      <w:r>
        <w:rPr>
          <w:rStyle w:val="CharStyle16"/>
          <w:lang w:val="en-US" w:eastAsia="en-US"/>
        </w:rPr>
        <w:t xml:space="preserve">8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106 </w:t>
      </w:r>
      <w:r>
        <w:rPr>
          <w:rStyle w:val="CharStyle16"/>
        </w:rPr>
        <w:t>Закона о контрактной системе, Комиссия Нижегородского УФАС России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6"/>
        </w:rPr>
        <w:t>решила: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признать жалобу ООО «ЦентрСбыт» на действия Приволжской транспортной прокуратуры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Заказчик) при проведении открытого электронного конкурса по объекту закупки: «Приобретение мебели для нужд Приволжской транспортной прокуратуры», номер извещения </w:t>
      </w:r>
      <w:r>
        <w:rPr>
          <w:rStyle w:val="CharStyle16"/>
          <w:lang w:val="en-US" w:eastAsia="en-US"/>
        </w:rPr>
        <w:t xml:space="preserve">0332100017726000019, </w:t>
      </w:r>
      <w:r>
        <w:rPr>
          <w:rStyle w:val="CharStyle16"/>
        </w:rPr>
        <w:t>необоснованной.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В соответствии с частью </w:t>
      </w:r>
      <w:r>
        <w:rPr>
          <w:rStyle w:val="CharStyle16"/>
          <w:lang w:val="en-US" w:eastAsia="en-US"/>
        </w:rPr>
        <w:t xml:space="preserve">9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106 </w:t>
      </w:r>
      <w:r>
        <w:rPr>
          <w:rStyle w:val="CharStyle16"/>
        </w:rPr>
        <w:t>Закона о контрактной системе 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62" w:right="539" w:bottom="941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384175" distL="0" distR="0" simplePos="0" relativeHeight="125829383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114300</wp:posOffset>
                </wp:positionV>
                <wp:extent cx="1758950" cy="24384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5895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25pt;margin-top:9.pt;width:138.5pt;height:19.199999999999999pt;z-index:-125829370;mso-wrap-distance-left:0;mso-wrap-distance-top:9.pt;mso-wrap-distance-right:0;mso-wrap-distance-bottom:30.2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2090" distB="186055" distL="0" distR="1816735" simplePos="0" relativeHeight="125829385" behindDoc="0" locked="0" layoutInCell="1" allowOverlap="1">
            <wp:simplePos x="0" y="0"/>
            <wp:positionH relativeFrom="page">
              <wp:posOffset>3095625</wp:posOffset>
            </wp:positionH>
            <wp:positionV relativeFrom="paragraph">
              <wp:posOffset>212090</wp:posOffset>
            </wp:positionV>
            <wp:extent cx="298450" cy="34734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3485515</wp:posOffset>
                </wp:positionH>
                <wp:positionV relativeFrom="paragraph">
                  <wp:posOffset>273050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4.44999999999999pt;margin-top:21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89915" distB="54610" distL="0" distR="0" simplePos="0" relativeHeight="125829386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589915</wp:posOffset>
                </wp:positionV>
                <wp:extent cx="1283335" cy="977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7.60000000000002pt;margin-top:46.450000000000003pt;width:101.05pt;height:7.7000000000000002pt;z-index:-125829367;mso-wrap-distance-left:0;mso-wrap-distance-top:46.450000000000003pt;mso-wrap-distance-right:0;mso-wrap-distance-bottom:4.2999999999999998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4670" distB="635" distL="0" distR="0" simplePos="0" relativeHeight="125829388" behindDoc="0" locked="0" layoutInCell="1" allowOverlap="1">
                <wp:simplePos x="0" y="0"/>
                <wp:positionH relativeFrom="page">
                  <wp:posOffset>5808345</wp:posOffset>
                </wp:positionH>
                <wp:positionV relativeFrom="paragraph">
                  <wp:posOffset>534670</wp:posOffset>
                </wp:positionV>
                <wp:extent cx="984250" cy="20701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4250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И.С. Канаева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57.35000000000002pt;margin-top:42.100000000000001pt;width:77.5pt;height:16.300000000000001pt;z-index:-125829365;mso-wrap-distance-left:0;mso-wrap-distance-top:42.100000000000001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И.С. Канаева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Канаева Ирина Сергеевна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00C0B702B4B52D40D7A483D5EEEFDC0E3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rStyle w:val="CharStyle22"/>
        </w:rPr>
        <w:t xml:space="preserve">Действителен с 18.09.2025 </w:t>
      </w:r>
      <w:r>
        <w:rPr>
          <w:rStyle w:val="CharStyle22"/>
          <w:color w:val="5A5A5A"/>
        </w:rPr>
        <w:t xml:space="preserve">по </w:t>
      </w:r>
      <w:r>
        <w:rPr>
          <w:rStyle w:val="CharStyle22"/>
        </w:rPr>
        <w:t>12.12.2026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Члены комиссии: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46" w:bottom="1613" w:left="1106" w:header="0" w:footer="3" w:gutter="0"/>
          <w:cols w:space="720"/>
          <w:noEndnote/>
          <w:rtlGutter w:val="0"/>
          <w:docGrid w:linePitch="360"/>
        </w:sectPr>
      </w:pPr>
      <w:r>
        <w:drawing>
          <wp:anchor distT="50800" distB="186055" distL="0" distR="1816735" simplePos="0" relativeHeight="125829390" behindDoc="0" locked="0" layoutInCell="1" allowOverlap="1">
            <wp:simplePos x="0" y="0"/>
            <wp:positionH relativeFrom="page">
              <wp:posOffset>3096260</wp:posOffset>
            </wp:positionH>
            <wp:positionV relativeFrom="paragraph">
              <wp:posOffset>50800</wp:posOffset>
            </wp:positionV>
            <wp:extent cx="298450" cy="347345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3486150</wp:posOffset>
                </wp:positionH>
                <wp:positionV relativeFrom="paragraph">
                  <wp:posOffset>111760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4.5pt;margin-top:8.8000000000000007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28625" distB="52070" distL="0" distR="0" simplePos="0" relativeHeight="125829391" behindDoc="0" locked="0" layoutInCell="1" allowOverlap="1">
                <wp:simplePos x="0" y="0"/>
                <wp:positionH relativeFrom="page">
                  <wp:posOffset>3526155</wp:posOffset>
                </wp:positionH>
                <wp:positionV relativeFrom="paragraph">
                  <wp:posOffset>428625</wp:posOffset>
                </wp:positionV>
                <wp:extent cx="1283335" cy="1003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65000000000003pt;margin-top:33.75pt;width:101.05pt;height:7.9000000000000004pt;z-index:-125829362;mso-wrap-distance-left:0;mso-wrap-distance-top:33.75pt;mso-wrap-distance-right:0;mso-wrap-distance-bottom:4.0999999999999996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4015" distB="0" distL="0" distR="0" simplePos="0" relativeHeight="125829393" behindDoc="0" locked="0" layoutInCell="1" allowOverlap="1">
                <wp:simplePos x="0" y="0"/>
                <wp:positionH relativeFrom="page">
                  <wp:posOffset>5781675</wp:posOffset>
                </wp:positionH>
                <wp:positionV relativeFrom="paragraph">
                  <wp:posOffset>374015</wp:posOffset>
                </wp:positionV>
                <wp:extent cx="1085215" cy="20701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5215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И.А. Королёва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55.25pt;margin-top:29.449999999999999pt;width:85.450000000000003pt;height:16.300000000000001pt;z-index:-125829360;mso-wrap-distance-left:0;mso-wrap-distance-top:29.44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И.А. Королёва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Королёва Ирина Андреевна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00C37A327BDE0B3DCB5E7D45FE744668C</w:t>
      </w:r>
      <w:r>
        <w:rPr>
          <w:rStyle w:val="CharStyle22"/>
          <w:lang w:val="en-US" w:eastAsia="en-US"/>
        </w:rPr>
        <w:t>(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rStyle w:val="CharStyle22"/>
        </w:rPr>
        <w:t xml:space="preserve">Действителен с </w:t>
      </w:r>
      <w:r>
        <w:rPr>
          <w:rStyle w:val="CharStyle22"/>
          <w:color w:val="5A5A5A"/>
        </w:rPr>
        <w:t xml:space="preserve">30.12.2025 по </w:t>
      </w:r>
      <w:r>
        <w:rPr>
          <w:rStyle w:val="CharStyle22"/>
        </w:rPr>
        <w:t>25.03.2027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640"/>
        <w:jc w:val="left"/>
      </w:pPr>
      <w:r>
        <w:drawing>
          <wp:anchor distT="0" distB="0" distL="114300" distR="1931035" simplePos="0" relativeHeight="125829395" behindDoc="0" locked="0" layoutInCell="1" allowOverlap="1">
            <wp:simplePos x="0" y="0"/>
            <wp:positionH relativeFrom="page">
              <wp:posOffset>3096260</wp:posOffset>
            </wp:positionH>
            <wp:positionV relativeFrom="paragraph">
              <wp:posOffset>76200</wp:posOffset>
            </wp:positionV>
            <wp:extent cx="298450" cy="347345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3486150</wp:posOffset>
                </wp:positionH>
                <wp:positionV relativeFrom="paragraph">
                  <wp:posOffset>137160</wp:posOffset>
                </wp:positionV>
                <wp:extent cx="1722120" cy="25908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4.5pt;margin-top:10.8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6"/>
        </w:rPr>
        <w:t>Д.А. Колденков</w: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460" w:right="0" w:firstLine="0"/>
        <w:jc w:val="left"/>
      </w:pPr>
      <w:r>
        <w:rPr>
          <w:rStyle w:val="CharStyle19"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Колденков Даниил Александрович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00D84EF2E1E1AF1681EC520B87FD3DE73</w:t>
      </w:r>
      <w:r>
        <w:rPr>
          <w:rStyle w:val="CharStyle22"/>
          <w:lang w:val="en-US" w:eastAsia="en-US"/>
        </w:rPr>
        <w:t>E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620" w:line="240" w:lineRule="auto"/>
        <w:ind w:right="0" w:firstLine="0"/>
        <w:jc w:val="left"/>
      </w:pPr>
      <w:r>
        <w:rPr>
          <w:rStyle w:val="CharStyle22"/>
        </w:rPr>
        <w:t xml:space="preserve">Действителен с </w:t>
      </w:r>
      <w:r>
        <w:rPr>
          <w:rStyle w:val="CharStyle22"/>
          <w:color w:val="5A5A5A"/>
        </w:rPr>
        <w:t>29.08.2025 по 22.1</w:t>
      </w:r>
      <w:r>
        <w:rPr>
          <w:rStyle w:val="CharStyle22"/>
          <w:color w:val="292929"/>
        </w:rPr>
        <w:t>1</w:t>
      </w:r>
      <w:r>
        <w:rPr>
          <w:rStyle w:val="CharStyle22"/>
        </w:rPr>
        <w:t>.2026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7"/>
        </w:rPr>
        <w:t>Исп.Железов Е.С.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27"/>
        </w:rPr>
        <w:t>тел.052-803 431-73-88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46" w:bottom="1613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779780</wp:posOffset>
              </wp:positionH>
              <wp:positionV relativeFrom="page">
                <wp:posOffset>10021570</wp:posOffset>
              </wp:positionV>
              <wp:extent cx="725170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2026-11180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1.399999999999999pt;margin-top:789.10000000000002pt;width:57.1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2026-11180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10031730</wp:posOffset>
              </wp:positionV>
              <wp:extent cx="722630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2026-11180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70.200000000000003pt;margin-top:789.89999999999998pt;width:56.899999999999999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2026-11180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613410</wp:posOffset>
              </wp:positionV>
              <wp:extent cx="57785" cy="7302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05000000000001pt;margin-top:48.300000000000004pt;width:4.5499999999999998pt;height:5.7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Picture caption_"/>
    <w:basedOn w:val="DefaultParagraphFont"/>
    <w:link w:val="Style1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6">
    <w:name w:val="Body text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9">
    <w:name w:val="Body text (4)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2">
    <w:name w:val="Body text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27">
    <w:name w:val="Body text (5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2">
    <w:name w:val="Picture caption"/>
    <w:basedOn w:val="Normal"/>
    <w:link w:val="CharStyle1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styleId="Style15">
    <w:name w:val="Body text"/>
    <w:basedOn w:val="Normal"/>
    <w:link w:val="CharStyle16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8">
    <w:name w:val="Body text (4)"/>
    <w:basedOn w:val="Normal"/>
    <w:link w:val="CharStyle19"/>
    <w:pPr>
      <w:widowControl w:val="0"/>
      <w:shd w:val="clear" w:color="auto" w:fill="auto"/>
      <w:spacing w:after="50"/>
      <w:ind w:left="223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  <w:ind w:left="37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6">
    <w:name w:val="Body text (5)"/>
    <w:basedOn w:val="Normal"/>
    <w:link w:val="CharStyle27"/>
    <w:pPr>
      <w:widowControl w:val="0"/>
      <w:shd w:val="clear" w:color="auto" w:fill="auto"/>
      <w:spacing w:after="3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png"/><Relationship Id="rId14" Type="http://schemas.openxmlformats.org/officeDocument/2006/relationships/image" Target="media/image3.pn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Relationship Id="rId19" Type="http://schemas.openxmlformats.org/officeDocument/2006/relationships/image" Target="media/image6.jpeg"/><Relationship Id="rId20" Type="http://schemas.openxmlformats.org/officeDocument/2006/relationships/image" Target="media/image6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Решение ФАС России от 03.11.2022 по делу N 28/06/105-3270/2022Суть жалобы: Заказчик неправомерно принял решение о признании заявителя уклонившимся от заключения контракта.Решение: 1) Жалоба признана необоснованной, так как заявителем предоставлена банковская гарантия, не соответствующая требованиям действующего законодательства; 2) Независимая гарантия, выданная банком, не соответствует дополнительным требованиям, действия банка нарушают ч. 8.2 ст. 45 Закона о контрактной системе.</dc:title>
  <dc:subject/>
  <dc:creator/>
  <cp:keywords/>
</cp:coreProperties>
</file>