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88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ИБ/9863/26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РОСЭЛТОРГ (АО«ЕЭТП»)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info@roseltorg.ru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МБУ "РЭД" </w:t>
      </w:r>
      <w:r>
        <w:fldChar w:fldCharType="begin"/>
      </w:r>
      <w:r>
        <w:rPr/>
        <w:instrText> HYPERLINK "mailto:mbu-red@yandex.ru"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mbu-red@yandex.ru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Департамент экономического развития и инвестиций администрации города Нижнего Новгорода </w:t>
      </w:r>
      <w:r>
        <w:fldChar w:fldCharType="begin"/>
      </w:r>
      <w:r>
        <w:rPr/>
        <w:instrText> HYPERLINK "mailto:invest@admgor.nnov.ru"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invest@admgor.nnov.ru</w:t>
      </w:r>
      <w:r>
        <w:fldChar w:fldCharType="end"/>
      </w:r>
      <w:r>
        <w:rPr>
          <w:rStyle w:val="CharStyle13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"mailto:ispzakaz@admgor.nnov.ru"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ispzakaz@admgor.nnov.ru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795" w:bottom="1395" w:left="1135" w:header="0" w:footer="3" w:gutter="0"/>
          <w:cols w:num="2" w:space="720" w:equalWidth="0">
            <w:col w:w="4186" w:space="1085"/>
            <w:col w:w="4699"/>
          </w:cols>
          <w:noEndnote/>
          <w:rtlGutter w:val="0"/>
          <w:docGrid w:linePitch="360"/>
        </w:sectPr>
      </w:pPr>
      <w:r>
        <w:rPr>
          <w:rStyle w:val="CharStyle13"/>
          <w:sz w:val="28"/>
          <w:szCs w:val="28"/>
        </w:rPr>
        <w:t xml:space="preserve">ООО «Кварцит - НН» </w:t>
      </w:r>
      <w:r>
        <w:fldChar w:fldCharType="begin"/>
      </w:r>
      <w:r>
        <w:rPr/>
        <w:instrText> HYPERLINK "mailto:kvarcit-nn@yandex.ru"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kvarcit-nn@yandex.ru</w:t>
      </w:r>
      <w:r>
        <w:fldChar w:fldCharType="end"/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1" w:right="0" w:bottom="13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052/06/105-1131/2026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185545" cy="231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12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.pt;width:93.350000000000009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12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80160" cy="61595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615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Колденкова Д.А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100.8pt;height:4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Колденкова Д.А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1" w:val="left"/>
        </w:tabs>
        <w:bidi w:val="0"/>
        <w:spacing w:before="0" w:after="260" w:line="240" w:lineRule="auto"/>
        <w:ind w:left="260" w:right="0" w:hanging="26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Николаевой Ю.А. - представителя МБУ «РЭД» по доверенности от 25.03.2026 № 15,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рассмотрев посредством видео-конференц-связи жалобу общества с ограниченной ответственностью «Кварцит - НН» (далее также – ООО «Кварцит - НН», заявитель) о нарушении Муниципальным бюджетным учреждением «Ремонт и эксплуатация дорог» (далее – МБУ «РЭД», Заказчик)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«Поставка эмульсии битумной», номер извещения 0132600032726000310,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widowControl w:val="0"/>
        <w:spacing w:line="1" w:lineRule="exact"/>
      </w:pPr>
      <w:r>
        <w:drawing>
          <wp:anchor distT="2286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228600</wp:posOffset>
            </wp:positionV>
            <wp:extent cx="1298575" cy="41465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закупки: «Поставка эмульсии битумной», номер извещения </w:t>
      </w:r>
      <w:r>
        <w:rPr>
          <w:rStyle w:val="CharStyle13"/>
          <w:lang w:val="en-US" w:eastAsia="en-US"/>
        </w:rPr>
        <w:t>0132600032726000310.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Представитель заказчика на заседании Комиссии Нижегородского УФАС России с доводами, изложенными в жалобе заявителя, не согласился, факт нарушений требований Закона о контрактной системе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ходе заседания Комиссии Нижегородского УФАС России </w:t>
      </w:r>
      <w:r>
        <w:rPr>
          <w:rStyle w:val="CharStyle13"/>
          <w:lang w:val="en-US" w:eastAsia="en-US"/>
        </w:rPr>
        <w:t xml:space="preserve">07.05.2026 </w:t>
      </w:r>
      <w:r>
        <w:rPr>
          <w:rStyle w:val="CharStyle13"/>
        </w:rPr>
        <w:t xml:space="preserve">Комиссией в целях полного и всестороннего рассмотрения сведений объявлен перерыв, заседание продолжилось в </w:t>
      </w:r>
      <w:r>
        <w:rPr>
          <w:rStyle w:val="CharStyle13"/>
          <w:lang w:val="en-US" w:eastAsia="en-US"/>
        </w:rPr>
        <w:t xml:space="preserve">09 </w:t>
      </w:r>
      <w:r>
        <w:rPr>
          <w:rStyle w:val="CharStyle13"/>
        </w:rPr>
        <w:t xml:space="preserve">часов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 xml:space="preserve">минут </w:t>
      </w:r>
      <w:r>
        <w:rPr>
          <w:rStyle w:val="CharStyle13"/>
          <w:lang w:val="en-US" w:eastAsia="en-US"/>
        </w:rPr>
        <w:t>12.05.2026.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  <w:lang w:val="en-US" w:eastAsia="en-US"/>
        </w:rPr>
        <w:t xml:space="preserve">27.04.2026 </w:t>
      </w:r>
      <w:r>
        <w:rPr>
          <w:rStyle w:val="CharStyle13"/>
        </w:rPr>
        <w:t xml:space="preserve">в единой информационной системе и на сайте оператора электронной площадки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РОСЭЛТОРГ (АО«ЕЭТП»)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размещено извещение по объекту закупки: «Поставка эмульсии битумной», номер извещения </w:t>
      </w:r>
      <w:r>
        <w:rPr>
          <w:rStyle w:val="CharStyle13"/>
          <w:lang w:val="en-US" w:eastAsia="en-US"/>
        </w:rPr>
        <w:t>0132600032726000310.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— 3 007 000,00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По мнению Заявителя жалобы, установление заказчиком требования об удаленности территории отгрузки товара от производственных баз Заказчика ограничивает количество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Закона о контрактной системе данный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силу статьи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 любых действий, которые противоречат требованиям названного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Описание объекта закупки размещено в ЕИС в структурированном виде и в формате электронного документа.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Согласно письменным пояснениям Заказчика указание Заказчика на необходимость о месте отгрузки эмульсии, находящегося не более </w:t>
      </w:r>
      <w:r>
        <w:rPr>
          <w:rStyle w:val="CharStyle13"/>
          <w:lang w:val="en-US" w:eastAsia="en-US"/>
        </w:rPr>
        <w:t xml:space="preserve">35 </w:t>
      </w:r>
      <w:r>
        <w:rPr>
          <w:rStyle w:val="CharStyle13"/>
        </w:rPr>
        <w:t>(Тридцати пяти) километров от производственных баз Заказчика, обусловлено спецификой применения и использования данного вида товара, поэтому закупка с более большим расстоянием на отгрузку приведет к негативным последствиям и неоправданным расходам Заказчика, а именно: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Муниципальное бюджетное учреждение «Ремонт и эксплуатация дорог» осуществляет деятельность по эксплуатации автомобильных дорог и автомагистралей, соответственно обеспечивает бесперебойное и безопасное движение транспортных средств на сети автодорог при выполнении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Содержание дорог осуществляется в четырех районах города Нижнего Новгорода, в связи большим объемом обслуживаемых дорог, удаленность доставок в более чем </w:t>
      </w:r>
      <w:r>
        <w:rPr>
          <w:rStyle w:val="CharStyle13"/>
          <w:lang w:val="en-US" w:eastAsia="en-US"/>
        </w:rPr>
        <w:t xml:space="preserve">35 </w:t>
      </w:r>
      <w:r>
        <w:rPr>
          <w:rStyle w:val="CharStyle13"/>
        </w:rPr>
        <w:t>километров от производственных баз Заказчика будут негативно сказываться на сроках и объемах выполнения ремонта участков дорог в районах города Нижнего Новгорода.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Транспортные средства Заказчика, в количестве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единиц, с помощью которых осуществляется доставка битумной эмульсии, от места разгрузки, имеют специализированное назначение для оперативного выполнения работ по ямочному и карточному ремонту дорог струйно-инъекционным методом заливки трещин в покрытие и заделки ям, т.е загрузившись битумной эмульсией, автомобиль следует по местам,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определённым к выполнению ремонтных работ на дорогах.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Соответственно, ко времени прибытия транспорта с битумной эмульсией выставляются рабочие, выполняющие подготовку (очистку ремонтируемого участка дороги), участков дорог к ремонту (заливке смесью битумной эмульсией и кварцевым щебнем). Удаленность доставки будет приводить к росту времени ожидания рабочих на участках дорог.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В процессе доставки битумной эмульсии используется специализированная техника, которая позволяет осуществлять контроль температуры битумной эмульсии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это ключевой элемент процесса доставки, он позволяет сохранить материал в состоянии, пригодном для последующего использования в дорожных работах, что является главным показателем эффективности и оперативности выполнения объёма ремонтных работ на участках дорог в установленные сроки в соответствии с муниципальным заданием, что в свою очередь отражает эффективное распределение бюджетных средств и организации труда рабочих учреждения.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Удаленность в </w:t>
      </w:r>
      <w:r>
        <w:rPr>
          <w:rStyle w:val="CharStyle13"/>
          <w:lang w:val="en-US" w:eastAsia="en-US"/>
        </w:rPr>
        <w:t xml:space="preserve">35 </w:t>
      </w:r>
      <w:r>
        <w:rPr>
          <w:rStyle w:val="CharStyle13"/>
        </w:rPr>
        <w:t>километров указана для минимизации логистических рисков по доставке: для исключения простоя автомобиля в пробках, который приведет к большому расходу ГСМ, повышению амортизации транспорта из-за большего пробега, задержке поставок битумной эмульсии, которая в свою очередь приведет к срыву своевременного выполнения работ, простою рабочих на участках дорог, и автомобиля, используемого для перекрытия ремонтируемых участков дорог, а также для исключения дополнительных затрат по сохранению качества битумной эмульсии.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Большая удаленность негативно влияет на возможность осуществления постоянного контроля со стороны Заказчика (удалённость объекта в сочетании с нестабильным интернет-соединением в городской черте приводит к регулярным сбоям </w:t>
      </w:r>
      <w:r>
        <w:rPr>
          <w:rStyle w:val="CharStyle13"/>
          <w:lang w:val="en-US" w:eastAsia="en-US"/>
        </w:rPr>
        <w:t xml:space="preserve">GPS-трекинга </w:t>
      </w:r>
      <w:r>
        <w:rPr>
          <w:rStyle w:val="CharStyle13"/>
        </w:rPr>
        <w:t>транспорта, это затрудняет оперативный контроль за маршрутами и графиком движения, увеличивая риски задержек и отклонений от плана выполнения работ).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Комиссия Нижегородского УФАС России на заседании </w:t>
      </w:r>
      <w:r>
        <w:rPr>
          <w:rStyle w:val="CharStyle13"/>
          <w:lang w:val="en-US" w:eastAsia="en-US"/>
        </w:rPr>
        <w:t xml:space="preserve">07.05.2026 </w:t>
      </w:r>
      <w:r>
        <w:rPr>
          <w:rStyle w:val="CharStyle13"/>
        </w:rPr>
        <w:t>запросила у Заказчика дополнительные сведения и документы относительно технологического процесса, в котором используется закупаемый товар, а также относительно исследования заказчиком наличия хозяйствующих субъектов, готовых исполнить контракт на условиях, указанных в извещении.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Заказчиком предоставлены следующие письменные пояснения: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«</w:t>
      </w:r>
      <w:r>
        <w:rPr>
          <w:rStyle w:val="CharStyle13"/>
          <w:b/>
          <w:bCs/>
          <w:i/>
          <w:iCs/>
        </w:rPr>
        <w:t>Технологический процесс хранения, транспортировки и использования битумной эмульсии ЭБДК 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 xml:space="preserve">Битумная эмульсия ЭБДК Б (быстросохнущая) </w:t>
      </w:r>
      <w:r>
        <w:rPr>
          <w:rStyle w:val="CharStyle13"/>
          <w:i/>
          <w:iCs/>
          <w:lang w:val="en-US" w:eastAsia="en-US"/>
        </w:rPr>
        <w:t xml:space="preserve">— </w:t>
      </w:r>
      <w:r>
        <w:rPr>
          <w:rStyle w:val="CharStyle13"/>
          <w:i/>
          <w:iCs/>
        </w:rPr>
        <w:t>это битум, используемый для ремонта трещин и ям асфальтного покрытия.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Отгрузка осуществляется наливом в транспортное средство Заказчика, с целью осуществления ремонтных работ на участках дорог. Заказчиком предусматривается непрерывный процесс её использования: загрузка в транспортное средство, транспортировка к месту работ, немедленное использование в ремонте дорог.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 xml:space="preserve">Оптимальная рабочая температура битумной эмульсии </w:t>
      </w:r>
      <w:r>
        <w:rPr>
          <w:rStyle w:val="CharStyle13"/>
          <w:i/>
          <w:iCs/>
          <w:lang w:val="en-US" w:eastAsia="en-US"/>
        </w:rPr>
        <w:t xml:space="preserve">— 50–70 °C, </w:t>
      </w:r>
      <w:r>
        <w:rPr>
          <w:rStyle w:val="CharStyle13"/>
          <w:i/>
          <w:iCs/>
        </w:rPr>
        <w:t xml:space="preserve">в связи с этим необходимо оперативное расходование битумной эмульсии при выполнении работ. Использование битумной эмульсии осуществляется в течение </w:t>
      </w:r>
      <w:r>
        <w:rPr>
          <w:rStyle w:val="CharStyle13"/>
          <w:i/>
          <w:iCs/>
          <w:lang w:val="en-US" w:eastAsia="en-US"/>
        </w:rPr>
        <w:t xml:space="preserve">2–5 </w:t>
      </w:r>
      <w:r>
        <w:rPr>
          <w:rStyle w:val="CharStyle13"/>
          <w:i/>
          <w:iCs/>
        </w:rPr>
        <w:t>часов с момента загрузки. Автомобиль в течение рабочего дня может заправиться битумной эмульсией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i/>
          <w:iCs/>
        </w:rPr>
        <w:t xml:space="preserve">один раз, а может </w:t>
      </w:r>
      <w:r>
        <w:rPr>
          <w:rStyle w:val="CharStyle13"/>
          <w:i/>
          <w:iCs/>
          <w:lang w:val="en-US" w:eastAsia="en-US"/>
        </w:rPr>
        <w:t xml:space="preserve">— </w:t>
      </w:r>
      <w:r>
        <w:rPr>
          <w:rStyle w:val="CharStyle13"/>
          <w:i/>
          <w:iCs/>
        </w:rPr>
        <w:t>более трёх, в зависимости от объёма выполняемых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 xml:space="preserve">В случае следования автомобиля на расстояние более </w:t>
      </w:r>
      <w:r>
        <w:rPr>
          <w:rStyle w:val="CharStyle13"/>
          <w:i/>
          <w:iCs/>
          <w:lang w:val="en-US" w:eastAsia="en-US"/>
        </w:rPr>
        <w:t xml:space="preserve">35 </w:t>
      </w:r>
      <w:r>
        <w:rPr>
          <w:rStyle w:val="CharStyle13"/>
          <w:i/>
          <w:iCs/>
        </w:rPr>
        <w:t>км от места загрузки до места проведения работ уменьшается время на выполнение работ, увеличивается время доставки, увеличивается расходование бюджетных средств на ГСМ и амортизацию транспорта; сокращение времени доставки битумной эмульсии необходимо в целях обеспечения безопасности дорожного движения, выполнения муниципального задания, увеличения пропускной способности дорог в районах города Н. Новгорода.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Загрузка должна производиться на территории, оборудованной весами (с целью фиксации объёма поставленной битумной эмульсии).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b/>
          <w:bCs/>
          <w:i/>
          <w:iCs/>
        </w:rPr>
        <w:t>Ход осуществления работ с битумной эмульсией ЭБДК 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 xml:space="preserve">Заливка битумной эмульсии марки ЭБДК Б осуществляется в Патчер </w:t>
      </w:r>
      <w:r>
        <w:rPr>
          <w:rStyle w:val="CharStyle13"/>
          <w:i/>
          <w:iCs/>
          <w:lang w:val="en-US" w:eastAsia="en-US"/>
        </w:rPr>
        <w:t xml:space="preserve">— </w:t>
      </w:r>
      <w:r>
        <w:rPr>
          <w:rStyle w:val="CharStyle13"/>
          <w:i/>
          <w:iCs/>
        </w:rPr>
        <w:t>специализированный автомобиль с помощью битумной установки, либо с помощью трубы автогудронатора (при перевозке автогудронатором).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Область применения битумной эмульсии в ремонте дорог методом заливки трещин в покрытие, ямочный ремонт, заделки выбоин, т.е. загрузившись битумной эмульсией, автомобиль сразу же отправляется на места выполнения ремонтных работ на дорогах. К времени прибытия автомобиля на участках дорог: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выставляется автомобиль, перекрывающий ремонтируемые участки дороги (с целью безопасности движения транспортных средств);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выставляются рабочие, выполняющие подготовку ремонтируемого участка к её заливке (очистку, проливку водой ремонтируемого участка дороги, в соответствии с технологическими требованиями, предъявляемыми к выполнению работ);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по прибытии автомобиля с битумной эмульсией происходит заливка выбоин, ям, трещин;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далее перемещение автомобиля по плановым местам выполнения работ. В соответствии с муниципальным заданием.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Доставка битумной эмульсии в адрес производственной базы не возможна по следующим причинам: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технических условий приёмки битумной эмульсии на территории производственной базы не имеется;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>доставка к месту нахождения баз Заказчика не эффективна в связи с увеличением времени доставки битумной эмульсии к месту выполнения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b/>
          <w:bCs/>
          <w:i/>
          <w:iCs/>
        </w:rPr>
        <w:t>Исследование возможностей поставщиков выгрузки битумной эмульсии в соответствии с требованиями Заказчика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  <w:i/>
          <w:iCs/>
        </w:rPr>
        <w:t xml:space="preserve">В Адрес МБУ «РЭД» направлены коммерческие предложения от Поставщиков, которые имеют возможность поставить битумную эмульсию ЭБДК Б в места отгрузки, находящиеся не более </w:t>
      </w:r>
      <w:r>
        <w:rPr>
          <w:rStyle w:val="CharStyle13"/>
          <w:i/>
          <w:iCs/>
          <w:lang w:val="en-US" w:eastAsia="en-US"/>
        </w:rPr>
        <w:t xml:space="preserve">35 </w:t>
      </w:r>
      <w:r>
        <w:rPr>
          <w:rStyle w:val="CharStyle13"/>
          <w:i/>
          <w:iCs/>
        </w:rPr>
        <w:t>километров от производственных баз Заказчика. Копии коммерческих предложений в количестве 3-х шт. прилагаются</w:t>
      </w:r>
      <w:r>
        <w:rPr>
          <w:rStyle w:val="CharStyle13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Заявителем жалобы не предоставлены документы и сведения, позволяющие Комиссии прийти к выводу о нарушении прав и законных интересов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С учетом изложенного Комиссия Нижегородского УФАС России признает довод жалобы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>Таким образом, жалоба признана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  <w:lang w:val="en-US" w:eastAsia="en-US"/>
        </w:rPr>
        <w:t xml:space="preserve">1. </w:t>
      </w:r>
      <w:r>
        <w:rPr>
          <w:rStyle w:val="CharStyle13"/>
        </w:rPr>
        <w:t xml:space="preserve">Признать жалобу общества с ограниченной ответственностью «Кварцит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НН» о нарушении Муниципальным бюджетным учреждением «Ремонт и эксплуатация дорог»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«Поставка эмульсии битумной», номер извещения </w:t>
      </w:r>
      <w:r>
        <w:rPr>
          <w:rStyle w:val="CharStyle13"/>
          <w:lang w:val="en-US" w:eastAsia="en-US"/>
        </w:rPr>
        <w:t xml:space="preserve">0132600032726000310,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206500" distL="288290" distR="114300" simplePos="0" relativeHeight="125829383" behindDoc="0" locked="0" layoutInCell="1" allowOverlap="1">
                <wp:simplePos x="0" y="0"/>
                <wp:positionH relativeFrom="page">
                  <wp:posOffset>6254115</wp:posOffset>
                </wp:positionH>
                <wp:positionV relativeFrom="paragraph">
                  <wp:posOffset>12700</wp:posOffset>
                </wp:positionV>
                <wp:extent cx="953770" cy="23495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2.44999999999999pt;margin-top:1.pt;width:75.100000000000009pt;height:18.5pt;z-index:-125829370;mso-wrap-distance-left:22.699999999999999pt;mso-wrap-distance-right:9.pt;mso-wrap-distance-bottom:95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207135" distB="0" distL="114300" distR="117475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1219835</wp:posOffset>
                </wp:positionV>
                <wp:extent cx="1124585" cy="23495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75pt;margin-top:96.049999999999997pt;width:88.549999999999997pt;height:18.5pt;z-index:-125829368;mso-wrap-distance-left:9.pt;mso-wrap-distance-top:95.049999999999997pt;mso-wrap-distance-right:9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Д.А. Колденков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0"/>
        <w:jc w:val="left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40" w:line="240" w:lineRule="auto"/>
        <w:ind w:left="0" w:right="0" w:firstLine="0"/>
        <w:jc w:val="right"/>
      </w:pPr>
      <w:r>
        <w:rPr>
          <w:rStyle w:val="CharStyle13"/>
        </w:rPr>
        <w:t>Ю.К. Лебедева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11" w:right="538" w:bottom="1398" w:left="108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781050</wp:posOffset>
              </wp:positionH>
              <wp:positionV relativeFrom="page">
                <wp:posOffset>10205085</wp:posOffset>
              </wp:positionV>
              <wp:extent cx="719455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5pt;margin-top:803.55000000000007pt;width:56.649999999999999pt;height:5.7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10067925</wp:posOffset>
              </wp:positionV>
              <wp:extent cx="722630" cy="730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2.75pt;width:56.899999999999999pt;height:5.7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759460</wp:posOffset>
              </wp:positionV>
              <wp:extent cx="67310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4999999999999pt;margin-top:59.800000000000004pt;width:5.2999999999999998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Body text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Body text (3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/Relationships>
</file>