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12700</wp:posOffset>
                </wp:positionV>
                <wp:extent cx="2706370" cy="3112135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06370" cy="31121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e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5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8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5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Федеральной антимонопольной службы</w:t>
                              <w:br/>
                              <w:t>по Курганской области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5"/>
                              </w:rPr>
                              <w:t>ул. М. Горького, 40, г. Курган, 640020</w:t>
                              <w:br/>
                              <w:t>тел. (3522) 46-39-55, факс (3522) 46-39-85</w:t>
                              <w:br/>
                            </w:r>
                            <w:r>
                              <w:rPr>
                                <w:rStyle w:val="CharStyle5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"mailto:to45@fas.gov.ru"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5"/>
                                <w:lang w:val="en-US" w:eastAsia="en-US"/>
                              </w:rPr>
                              <w:t>to45@fas.gov.ru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0"/>
                              </w:rPr>
                              <w:t>0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10"/>
                              </w:rPr>
                              <w:t>8.06.2026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10"/>
                              </w:rPr>
                              <w:t>№ МЧ/1822/26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 w:line="266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8"/>
                                <w:sz w:val="18"/>
                                <w:szCs w:val="18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7.pt;margin-top:1.pt;width:213.09999999999999pt;height:245.05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e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5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8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5"/>
                          <w:b/>
                          <w:bCs/>
                          <w:sz w:val="17"/>
                          <w:szCs w:val="17"/>
                        </w:rPr>
                        <w:t>Федеральной антимонопольной службы</w:t>
                        <w:br/>
                        <w:t>по Курганской области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76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5"/>
                        </w:rPr>
                        <w:t>ул. М. Горького, 40, г. Курган, 640020</w:t>
                        <w:br/>
                        <w:t>тел. (3522) 46-39-55, факс (3522) 46-39-85</w:t>
                        <w:br/>
                      </w:r>
                      <w:r>
                        <w:rPr>
                          <w:rStyle w:val="CharStyle5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"mailto:to45@fas.gov.ru"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5"/>
                          <w:lang w:val="en-US" w:eastAsia="en-US"/>
                        </w:rPr>
                        <w:t>to45@fas.gov.ru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0"/>
                        </w:rPr>
                        <w:t>0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10"/>
                        </w:rPr>
                        <w:t>8.06.2026</w:t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10"/>
                        </w:rPr>
                        <w:t>№ МЧ/1822/26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 w:line="266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8"/>
                          <w:sz w:val="18"/>
                          <w:szCs w:val="18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0" w:right="0" w:firstLine="0"/>
        <w:jc w:val="left"/>
      </w:pPr>
      <w:r>
        <w:rPr>
          <w:rStyle w:val="CharStyle13"/>
        </w:rPr>
        <w:t>ХРУЩЕВА АНАСТАСИЯ ДМИТРИЕВНА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0" w:right="0" w:firstLine="0"/>
        <w:jc w:val="left"/>
      </w:pPr>
      <w:r>
        <w:rPr>
          <w:rStyle w:val="CharStyle13"/>
        </w:rPr>
        <w:t>420043, РЕСПУБЛИКА ТАТАРСТАН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0" w:right="0" w:firstLine="0"/>
        <w:jc w:val="left"/>
      </w:pPr>
      <w:r>
        <w:rPr>
          <w:rStyle w:val="CharStyle13"/>
        </w:rPr>
        <w:t>(ТАТАРСТАН), г.о. ГОРОД КАЗАНЬ, Г КАЗАНЬ,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0" w:right="0" w:firstLine="0"/>
        <w:jc w:val="left"/>
      </w:pPr>
      <w:r>
        <w:rPr>
          <w:rStyle w:val="CharStyle13"/>
        </w:rPr>
        <w:t>УЛ ВИШНЕВСКОГО, Д. 14, КВ. 11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260" w:right="0" w:firstLine="0"/>
        <w:jc w:val="left"/>
      </w:pPr>
      <w:r>
        <w:fldChar w:fldCharType="begin"/>
      </w:r>
      <w:r>
        <w:rPr/>
        <w:instrText> HYPERLINK "mailto:ip.hrusheva.a@gmail.com" </w:instrText>
      </w:r>
      <w:r>
        <w:fldChar w:fldCharType="separate"/>
      </w:r>
      <w:r>
        <w:rPr>
          <w:rStyle w:val="CharStyle13"/>
          <w:lang w:val="en-US" w:eastAsia="en-US"/>
        </w:rPr>
        <w:t>ip.hrusheva.a@gmail.com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0" w:right="0" w:firstLine="0"/>
        <w:jc w:val="left"/>
      </w:pPr>
      <w:r>
        <w:rPr>
          <w:rStyle w:val="CharStyle13"/>
        </w:rPr>
        <w:t>Государственное казенное учреждение «Центр закупок и бухгалтерского учета Курганской области»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740" w:right="0" w:hanging="4480"/>
        <w:jc w:val="left"/>
      </w:pPr>
      <w:r>
        <w:rPr>
          <w:rStyle w:val="CharStyle13"/>
        </w:rPr>
        <w:t>640003, Курганская область, г. Курган, ул. Р. Зорге, д.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740" w:right="0" w:hanging="4480"/>
        <w:jc w:val="left"/>
      </w:pPr>
      <w:r>
        <w:rPr>
          <w:rStyle w:val="CharStyle13"/>
        </w:rPr>
        <w:t>20, оф. 1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4740" w:right="0" w:hanging="4480"/>
        <w:jc w:val="left"/>
      </w:pPr>
      <w:r>
        <w:fldChar w:fldCharType="begin"/>
      </w:r>
      <w:r>
        <w:rPr/>
        <w:instrText> HYPERLINK "mailto:ugz@kurganobl.ru" </w:instrText>
      </w:r>
      <w:r>
        <w:fldChar w:fldCharType="separate"/>
      </w:r>
      <w:r>
        <w:rPr>
          <w:rStyle w:val="CharStyle13"/>
          <w:lang w:val="en-US" w:eastAsia="en-US"/>
        </w:rPr>
        <w:t>ugz@kurganobl.ru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740" w:right="0" w:hanging="4480"/>
        <w:jc w:val="left"/>
      </w:pPr>
      <w:r>
        <w:rPr>
          <w:rStyle w:val="CharStyle13"/>
        </w:rPr>
        <w:t>МУНИЦИПАЛЬНОЕ КАЗЕННОЕ УЧРЕЖДЕНИЕ "АДМИНИСТРАТИВНО-ТЕХНИЧЕСКАЯ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740" w:right="0" w:firstLine="0"/>
        <w:jc w:val="left"/>
      </w:pPr>
      <w:r>
        <w:rPr>
          <w:rStyle w:val="CharStyle13"/>
        </w:rPr>
        <w:t>ИНСПЕКЦИЯ ГОРОДА КУРГАНА"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4740" w:right="0" w:firstLine="0"/>
        <w:jc w:val="left"/>
      </w:pPr>
      <w:r>
        <w:rPr>
          <w:rStyle w:val="CharStyle13"/>
        </w:rPr>
        <w:t>Российская Федерация, 640020, Курганская обл, Курган г, Гоголя ул, Д. 16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3"/>
          <w:b/>
          <w:bCs/>
        </w:rPr>
        <w:t>Решение по делу о нарушении законодательства о контрактной системе</w:t>
        <w:br/>
        <w:t>в сфере закупок № 045/06/105-253/2026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794" w:val="left"/>
        </w:tabs>
        <w:bidi w:val="0"/>
        <w:spacing w:before="0" w:after="240" w:line="240" w:lineRule="auto"/>
        <w:ind w:left="0" w:right="0" w:firstLine="0"/>
        <w:jc w:val="left"/>
      </w:pPr>
      <w:r>
        <w:rPr>
          <w:rStyle w:val="CharStyle13"/>
        </w:rPr>
        <w:t>12.05.2026 г.</w:t>
        <w:tab/>
        <w:t>г. Курган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Комиссия Управления Федеральной антимонопольной службы по Курганской области по контролю в сфере закупок на территории Курганской области (далее – Комиссия Курганского УФАС России,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Заместитель Председателя Комиссии: Чеботина М.П. - заместитель руководителя начальник отдела контроля закупок и антимонопольного регулирования органов власти Курганского УФАС России,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Дудина М.С. - старший государственный инспектор отдела контроля закупок и антимонопольного регулирования органов власти Курганского УФАС России,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Базанова М.Ю. - ведущий специалист-эксперт отдела контроля закупок и антимонопольного регулирования органов власти Курганского УФАС России,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left="0" w:right="0" w:firstLine="720"/>
        <w:jc w:val="both"/>
      </w:pPr>
      <w:r>
        <w:rPr>
          <w:rStyle w:val="CharStyle13"/>
        </w:rPr>
        <w:t>руководствуясь частью 15 статьи 99, статьей 106 Федерального закона от 05.04.2013 № 44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системе, Закон), рассмотрев жалобу Индивидуального предпринимателя Хрущевой Анастасии Дмитриевны (далее – Заявитель) на действия заказчика - Муниципального казенного учреждения «Административно</w:t>
        <w:softHyphen/>
        <w:t>техническая инспекция города Кургана» (далее — МКУ «АТИ г. Кургана», Заказчик), Государственного казенного учреждения «Центр закупок и бухгалтерского учета Курганской области» (далее — ГКУ «Центр закупок и бухгалтерского учета Курганской области», Уполномоченное учреждение) при осуществлении закупки путем проведения электронного аукциона, объект закупки: выполнение работ по изготовлению и монтажу светодиодных консолей по ул. Омская в г. Кургане (извещение № 0843500000226002165), в присутствии посредством видеоконференц-связи представителей: Уполномоченного учреждения, Заказчика,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9"/>
        </w:rPr>
        <w:t>IIIIIIIIIIIIIIIIIIIIIII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3"/>
          <w:b/>
          <w:bCs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Курганское УФАС России поступила жалоба Заявителя (вх. </w:t>
      </w:r>
      <w:r>
        <w:rPr>
          <w:rStyle w:val="CharStyle13"/>
          <w:lang w:val="en-US" w:eastAsia="en-US"/>
        </w:rPr>
        <w:t xml:space="preserve">№ 2434/26 </w:t>
      </w:r>
      <w:r>
        <w:rPr>
          <w:rStyle w:val="CharStyle13"/>
        </w:rPr>
        <w:t xml:space="preserve">от </w:t>
      </w:r>
      <w:r>
        <w:rPr>
          <w:rStyle w:val="CharStyle13"/>
          <w:lang w:val="en-US" w:eastAsia="en-US"/>
        </w:rPr>
        <w:t xml:space="preserve">05.05.2026), </w:t>
      </w:r>
      <w:r>
        <w:rPr>
          <w:rStyle w:val="CharStyle13"/>
        </w:rPr>
        <w:t xml:space="preserve">которая принята к рассмотрению в порядке главы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>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Согласно доводам Заявителя применяемые Заказчиком наименования материалов, такие как «Основание у столба», «Горизонтальные перемычки», «Рама» не дают понимания того, как именно упомянутые наименования относятся к закупаемому товару, так как согласно описанию объекта закупки в Таблице </w:t>
      </w:r>
      <w:r>
        <w:rPr>
          <w:rStyle w:val="CharStyle13"/>
          <w:lang w:val="en-US" w:eastAsia="en-US"/>
        </w:rPr>
        <w:t xml:space="preserve">№ 1 </w:t>
      </w:r>
      <w:r>
        <w:rPr>
          <w:rStyle w:val="CharStyle13"/>
        </w:rPr>
        <w:t>отсутствует перечень составляющих элементов консоли, также Заявителю не понятно наименование единицы измерения для количества диодов.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Кроме того, Заявителем оспаривается установление Заказчиком такой характеристики, как «Степень защиты».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Также Заявитель считает, что Заказчиком не соблюдены правила описания объекта закупки при указании в локальном сметном расчете следующего материала, который должен быть использован при выполнении работ: «Шкаф управления наружным освещением ШУНО».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соответствии с частью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>Закона о контрактной системе, Курганским УФАС России у Заказчика, Уполномоченного учреждения были запрошены письменные пояснения с правовым и документальным обоснованием по доводам жалобы Заявителя, которые поступили и приобщены к материалам дела.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Представители Заказчика, Уполномоченного учреждения на заседании Комиссии Управления не согласились с доводом Заявителя по основаниям, изложенным в письменных возражениях, которые приобщены к материалам дела.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Комиссией Курганского УФАС России установлено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В соответствии с Извещением, протоколами, составленными в ходе проведения закупки: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Извещение размещено в ЕИС </w:t>
      </w:r>
      <w:r>
        <w:rPr>
          <w:rStyle w:val="CharStyle13"/>
          <w:lang w:val="en-US" w:eastAsia="en-US"/>
        </w:rPr>
        <w:t>– 27.04.2026;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способ определения поставщика (подрядчика, исполнителя) </w:t>
      </w:r>
      <w:r>
        <w:rPr>
          <w:rStyle w:val="CharStyle13"/>
          <w:lang w:val="en-US" w:eastAsia="en-US"/>
        </w:rPr>
        <w:t xml:space="preserve">— </w:t>
      </w:r>
      <w:r>
        <w:rPr>
          <w:rStyle w:val="CharStyle13"/>
        </w:rPr>
        <w:t>электронный аукцион;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начальная (максимальная) цена контракта </w:t>
      </w:r>
      <w:r>
        <w:rPr>
          <w:rStyle w:val="CharStyle13"/>
          <w:lang w:val="en-US" w:eastAsia="en-US"/>
        </w:rPr>
        <w:t xml:space="preserve">- 14 282 509,50 </w:t>
      </w:r>
      <w:r>
        <w:rPr>
          <w:rStyle w:val="CharStyle13"/>
        </w:rPr>
        <w:t>рублей;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дата окончания срока подачи заявок на участие в закупке </w:t>
      </w:r>
      <w:r>
        <w:rPr>
          <w:rStyle w:val="CharStyle13"/>
          <w:lang w:val="en-US" w:eastAsia="en-US"/>
        </w:rPr>
        <w:t xml:space="preserve">- 05.05.2026 07:00 </w:t>
      </w:r>
      <w:r>
        <w:rPr>
          <w:rStyle w:val="CharStyle13"/>
        </w:rPr>
        <w:t>(МСК+2);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дата подведения итогов определения поставщика (подрядчика, исполнителя) </w:t>
      </w:r>
      <w:r>
        <w:rPr>
          <w:rStyle w:val="CharStyle13"/>
          <w:lang w:val="en-US" w:eastAsia="en-US"/>
        </w:rPr>
        <w:t>— 07.05.2026;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на участие в закупке подано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 xml:space="preserve">заявок (из них соответствует требованиям: </w:t>
      </w:r>
      <w:r>
        <w:rPr>
          <w:rStyle w:val="CharStyle13"/>
          <w:lang w:val="en-US" w:eastAsia="en-US"/>
        </w:rPr>
        <w:t xml:space="preserve">7; </w:t>
      </w:r>
      <w:r>
        <w:rPr>
          <w:rStyle w:val="CharStyle13"/>
        </w:rPr>
        <w:t xml:space="preserve">отклонено: </w:t>
      </w:r>
      <w:r>
        <w:rPr>
          <w:rStyle w:val="CharStyle13"/>
          <w:lang w:val="en-US" w:eastAsia="en-US"/>
        </w:rPr>
        <w:t>1);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  <w:lang w:val="en-US" w:eastAsia="en-US"/>
        </w:rPr>
        <w:t xml:space="preserve">8) </w:t>
      </w:r>
      <w:r>
        <w:rPr>
          <w:rStyle w:val="CharStyle13"/>
        </w:rPr>
        <w:t xml:space="preserve">победителем закупки признан участник с идентификационным номером </w:t>
      </w:r>
      <w:r>
        <w:rPr>
          <w:rStyle w:val="CharStyle13"/>
          <w:lang w:val="en-US" w:eastAsia="en-US"/>
        </w:rPr>
        <w:t xml:space="preserve">3182541 </w:t>
      </w:r>
      <w:r>
        <w:rPr>
          <w:rStyle w:val="CharStyle13"/>
        </w:rPr>
        <w:t xml:space="preserve">с предложением о цене контракта в размере </w:t>
      </w:r>
      <w:r>
        <w:rPr>
          <w:rStyle w:val="CharStyle13"/>
          <w:lang w:val="en-US" w:eastAsia="en-US"/>
        </w:rPr>
        <w:t xml:space="preserve">5 927 241,15 </w:t>
      </w:r>
      <w:r>
        <w:rPr>
          <w:rStyle w:val="CharStyle13"/>
        </w:rPr>
        <w:t>рублей.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Оценивая доводы Заявителя, изложенные в жалобе, а также документы, представленные Уполномоченным учреждением приобщенные к материалам дела по рассмотрению жалобы, Комиссия Курганского УФАС России приходит к следующим выводам.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силу пункта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 xml:space="preserve">Закона о контрактной системе, извещение об осуществлении закупки, если иное не предусмотрено Законом, должно содержать электронный документ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описание объекта закупки в соответствии со статьей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Закона.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Согласно пункту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Как следует из пункта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Закона о контрактной системе заказчики должны использовать при составлении описания объекта закупки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Пункт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Закона о контрактной системе определяет, что описание объекта закупки может включать в себя спецификации, планы, чертежи, эскизы, фотографии, результаты работы, тестирования, требования, в том числе в отношении проведения испытаний, методов испытаний, упаковки в соответствии с требованиями Гражданского кодекса Российской Федерации, маркировки, этикеток, подтверждения соответствия, процессов и методов производства в соответствии с требованиями технических регламентов, документов, разрабатываемых и применяемых в национальной системе стандартизации, технических условий, а также в отношении условных обозначений и терминологии.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При этом, в зависимости от своих потребностей заказчик в описании объекта закупки должен установить требования, в частности, к качеству, техническим характеристикам (потребительским свойствам) с учетом специфики его деятельности и в целях обеспечения эффективного использования бюджетных средств, при соблюдении установленных законодательством Российской Федерации положений, направленных на обеспечение при проведении торгов конкурентной среды.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В связи с чем, заказчик вправе включить в описание объекта закупки такие характеристики и требования к товару, которые отвечают его потребностям и необходимы для выполнения соответствующих функций. При этом заказчик вправе в необходимой степени детализировать предмет закупок.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Основной задачей законодательства, устанавливающего порядок проведения торгов, является не столько обеспечение максимально широкого круга участников размещения заказов,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размещения заказов.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Согласно 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 xml:space="preserve">Закона о контрактной системе, документация о закупке в соответствии с требованиями, указанными в частью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Согласно части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Закона о контрактной системе, не допускается включение в описание объекта закупки требований к производителю товара, к участнику закупки (в том числе требования к квалификации участника закупки, включая наличие опыта работы), которые влекут за собой ограничение количества участников закупки,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Комиссия Управления отмечает, что в рассматриваемом случае объектом зкупки являются работы по изготовлению и монтажу светодиодных консолей по ул. Омской в г. Кургане.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Согласно пункту </w:t>
      </w:r>
      <w:r>
        <w:rPr>
          <w:rStyle w:val="CharStyle13"/>
          <w:lang w:val="en-US" w:eastAsia="en-US"/>
        </w:rPr>
        <w:t xml:space="preserve">1.4 </w:t>
      </w:r>
      <w:r>
        <w:rPr>
          <w:rStyle w:val="CharStyle13"/>
        </w:rPr>
        <w:t xml:space="preserve">Технического задания на выполнение работ по изготовлению и монтажу светодиодных консолей по ул. Омская в г. Кургане: Светодиодные консоли изготовить по образцу, указанному в Таблице </w:t>
      </w:r>
      <w:r>
        <w:rPr>
          <w:rStyle w:val="CharStyle13"/>
          <w:lang w:val="en-US" w:eastAsia="en-US"/>
        </w:rPr>
        <w:t xml:space="preserve">№ 1 </w:t>
      </w:r>
      <w:r>
        <w:rPr>
          <w:rStyle w:val="CharStyle13"/>
        </w:rPr>
        <w:t>к настоящему Техническому заданию.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Комиссия отмечает, что в указанной таблице представлено примерное изображение консоли, а также расписаны Материалы, используемые при выполнении Работ.</w:t>
      </w:r>
    </w:p>
    <w:tbl>
      <w:tblPr>
        <w:tblOverlap w:val="never"/>
        <w:jc w:val="center"/>
        <w:tblLayout w:type="fixed"/>
      </w:tblPr>
      <w:tblGrid>
        <w:gridCol w:w="1752"/>
        <w:gridCol w:w="634"/>
        <w:gridCol w:w="792"/>
        <w:gridCol w:w="4704"/>
        <w:gridCol w:w="2328"/>
      </w:tblGrid>
      <w:tr>
        <w:trPr>
          <w:trHeight w:val="130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1"/>
                <w:b/>
                <w:bCs/>
                <w:sz w:val="18"/>
                <w:szCs w:val="18"/>
              </w:rPr>
              <w:t xml:space="preserve">Наименование выполняемых Работ (Код ОКПД2 </w:t>
            </w:r>
            <w:r>
              <w:rPr>
                <w:rStyle w:val="CharStyle21"/>
                <w:b/>
                <w:bCs/>
                <w:sz w:val="18"/>
                <w:szCs w:val="18"/>
                <w:lang w:val="en-US" w:eastAsia="en-US"/>
              </w:rPr>
              <w:t>– 43.21.10.290)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1"/>
                <w:b/>
                <w:bCs/>
                <w:sz w:val="18"/>
                <w:szCs w:val="18"/>
              </w:rPr>
              <w:t>Ед. изм.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1"/>
                <w:b/>
                <w:bCs/>
                <w:sz w:val="18"/>
                <w:szCs w:val="18"/>
              </w:rPr>
              <w:t>Кол-во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  <w:rPr>
                <w:sz w:val="18"/>
                <w:szCs w:val="18"/>
              </w:rPr>
            </w:pPr>
            <w:r>
              <w:rPr>
                <w:rStyle w:val="CharStyle21"/>
                <w:b/>
                <w:bCs/>
                <w:sz w:val="18"/>
                <w:szCs w:val="18"/>
              </w:rPr>
              <w:t>Материалы, используемые при выполнении Работ*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1"/>
                <w:b/>
                <w:bCs/>
                <w:sz w:val="18"/>
                <w:szCs w:val="18"/>
              </w:rPr>
              <w:t>Образец светодиодной консоли</w:t>
            </w:r>
          </w:p>
        </w:tc>
      </w:tr>
      <w:tr>
        <w:trPr>
          <w:trHeight w:val="519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1"/>
                <w:sz w:val="18"/>
                <w:szCs w:val="18"/>
              </w:rPr>
              <w:t>Изготовление и монтаж светодиодных консолей по ул. Омская в г. Кургане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1"/>
                <w:sz w:val="18"/>
                <w:szCs w:val="18"/>
              </w:rPr>
              <w:t>шт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1"/>
                <w:sz w:val="18"/>
                <w:szCs w:val="18"/>
                <w:lang w:val="en-US" w:eastAsia="en-US"/>
              </w:rPr>
              <w:t>206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rStyle w:val="CharStyle21"/>
                <w:sz w:val="18"/>
                <w:szCs w:val="18"/>
              </w:rPr>
              <w:t xml:space="preserve">Основание у столба: </w:t>
            </w:r>
            <w:r>
              <w:rPr>
                <w:rStyle w:val="CharStyle21"/>
                <w:sz w:val="18"/>
                <w:szCs w:val="18"/>
                <w:lang w:val="en-US" w:eastAsia="en-US"/>
              </w:rPr>
              <w:t xml:space="preserve">20*40 </w:t>
            </w:r>
            <w:r>
              <w:rPr>
                <w:rStyle w:val="CharStyle21"/>
                <w:sz w:val="18"/>
                <w:szCs w:val="18"/>
              </w:rPr>
              <w:t>мм.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rStyle w:val="CharStyle21"/>
                <w:sz w:val="18"/>
                <w:szCs w:val="18"/>
              </w:rPr>
              <w:t xml:space="preserve">Горизонтальные перемычки: труба </w:t>
            </w:r>
            <w:r>
              <w:rPr>
                <w:rStyle w:val="CharStyle21"/>
                <w:sz w:val="18"/>
                <w:szCs w:val="18"/>
                <w:lang w:val="en-US" w:eastAsia="en-US"/>
              </w:rPr>
              <w:t xml:space="preserve">20*20 </w:t>
            </w:r>
            <w:r>
              <w:rPr>
                <w:rStyle w:val="CharStyle21"/>
                <w:sz w:val="18"/>
                <w:szCs w:val="18"/>
              </w:rPr>
              <w:t>мм.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rStyle w:val="CharStyle21"/>
                <w:sz w:val="18"/>
                <w:szCs w:val="18"/>
              </w:rPr>
              <w:t xml:space="preserve">Контур изображения: полоса из листового железа толщиной </w:t>
            </w:r>
            <w:r>
              <w:rPr>
                <w:rStyle w:val="CharStyle21"/>
                <w:sz w:val="18"/>
                <w:szCs w:val="18"/>
                <w:lang w:val="en-US" w:eastAsia="en-US"/>
              </w:rPr>
              <w:t xml:space="preserve">1 </w:t>
            </w:r>
            <w:r>
              <w:rPr>
                <w:rStyle w:val="CharStyle21"/>
                <w:sz w:val="18"/>
                <w:szCs w:val="18"/>
              </w:rPr>
              <w:t xml:space="preserve">мм, шириной </w:t>
            </w:r>
            <w:r>
              <w:rPr>
                <w:rStyle w:val="CharStyle21"/>
                <w:sz w:val="18"/>
                <w:szCs w:val="18"/>
                <w:lang w:val="en-US" w:eastAsia="en-US"/>
              </w:rPr>
              <w:t xml:space="preserve">15 </w:t>
            </w:r>
            <w:r>
              <w:rPr>
                <w:rStyle w:val="CharStyle21"/>
                <w:sz w:val="18"/>
                <w:szCs w:val="18"/>
              </w:rPr>
              <w:t>мм.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rStyle w:val="CharStyle21"/>
                <w:sz w:val="18"/>
                <w:szCs w:val="18"/>
              </w:rPr>
              <w:t>Размер: 0,5х2,5 м.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rStyle w:val="CharStyle21"/>
                <w:sz w:val="18"/>
                <w:szCs w:val="18"/>
              </w:rPr>
              <w:t>Антикоррозионное покрытие рамы из защитно</w:t>
              <w:softHyphen/>
              <w:t>декоративной краски на основе алюминиевой пудры и полимерного связующего для антикоррозионной защиты стальных изделий и сооружений в два слоя.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rStyle w:val="CharStyle21"/>
                <w:sz w:val="18"/>
                <w:szCs w:val="18"/>
              </w:rPr>
              <w:t>Климатическое исполнение УХЛ1.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rStyle w:val="CharStyle21"/>
                <w:sz w:val="18"/>
                <w:szCs w:val="18"/>
                <w:lang w:val="en-US" w:eastAsia="en-US"/>
              </w:rPr>
              <w:t xml:space="preserve">LED </w:t>
            </w:r>
            <w:r>
              <w:rPr>
                <w:rStyle w:val="CharStyle21"/>
                <w:sz w:val="18"/>
                <w:szCs w:val="18"/>
              </w:rPr>
              <w:t xml:space="preserve">шнур </w:t>
            </w:r>
            <w:r>
              <w:rPr>
                <w:rStyle w:val="CharStyle21"/>
                <w:sz w:val="18"/>
                <w:szCs w:val="18"/>
                <w:lang w:val="en-US" w:eastAsia="en-US"/>
              </w:rPr>
              <w:t xml:space="preserve">– </w:t>
            </w:r>
            <w:r>
              <w:rPr>
                <w:rStyle w:val="CharStyle21"/>
                <w:sz w:val="18"/>
                <w:szCs w:val="18"/>
              </w:rPr>
              <w:t xml:space="preserve">гибкий неон, цвет белый </w:t>
            </w:r>
            <w:r>
              <w:rPr>
                <w:rStyle w:val="CharStyle21"/>
                <w:sz w:val="18"/>
                <w:szCs w:val="18"/>
                <w:lang w:val="en-US" w:eastAsia="en-US"/>
              </w:rPr>
              <w:t xml:space="preserve">(13 </w:t>
            </w:r>
            <w:r>
              <w:rPr>
                <w:rStyle w:val="CharStyle21"/>
                <w:sz w:val="18"/>
                <w:szCs w:val="18"/>
              </w:rPr>
              <w:t>м на консоль).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rStyle w:val="CharStyle21"/>
                <w:sz w:val="18"/>
                <w:szCs w:val="18"/>
              </w:rPr>
              <w:t>Равномерное освещение по всей длине шнура.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rStyle w:val="CharStyle21"/>
                <w:sz w:val="18"/>
                <w:szCs w:val="18"/>
              </w:rPr>
              <w:t xml:space="preserve">Входное напряжение: </w:t>
            </w:r>
            <w:r>
              <w:rPr>
                <w:rStyle w:val="CharStyle21"/>
                <w:sz w:val="18"/>
                <w:szCs w:val="18"/>
                <w:lang w:val="en-US" w:eastAsia="en-US"/>
              </w:rPr>
              <w:t xml:space="preserve">220 </w:t>
            </w:r>
            <w:r>
              <w:rPr>
                <w:rStyle w:val="CharStyle21"/>
                <w:sz w:val="18"/>
                <w:szCs w:val="18"/>
              </w:rPr>
              <w:t>В.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rStyle w:val="CharStyle21"/>
                <w:sz w:val="18"/>
                <w:szCs w:val="18"/>
              </w:rPr>
              <w:t xml:space="preserve">Потребляемая мощность: </w:t>
            </w:r>
            <w:r>
              <w:rPr>
                <w:rStyle w:val="CharStyle21"/>
                <w:sz w:val="18"/>
                <w:szCs w:val="18"/>
                <w:lang w:val="en-US" w:eastAsia="en-US"/>
              </w:rPr>
              <w:t xml:space="preserve">6 </w:t>
            </w:r>
            <w:r>
              <w:rPr>
                <w:rStyle w:val="CharStyle21"/>
                <w:sz w:val="18"/>
                <w:szCs w:val="18"/>
              </w:rPr>
              <w:t>Вт/м.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rStyle w:val="CharStyle21"/>
                <w:sz w:val="18"/>
                <w:szCs w:val="18"/>
              </w:rPr>
              <w:t xml:space="preserve">Световой поток: </w:t>
            </w:r>
            <w:r>
              <w:rPr>
                <w:rStyle w:val="CharStyle21"/>
                <w:sz w:val="18"/>
                <w:szCs w:val="18"/>
                <w:lang w:val="en-US" w:eastAsia="en-US"/>
              </w:rPr>
              <w:t xml:space="preserve">150 </w:t>
            </w:r>
            <w:r>
              <w:rPr>
                <w:rStyle w:val="CharStyle21"/>
                <w:sz w:val="18"/>
                <w:szCs w:val="18"/>
              </w:rPr>
              <w:t>Лм/м.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rStyle w:val="CharStyle21"/>
                <w:sz w:val="18"/>
                <w:szCs w:val="18"/>
              </w:rPr>
              <w:t xml:space="preserve">Количество диодов: </w:t>
            </w:r>
            <w:r>
              <w:rPr>
                <w:rStyle w:val="CharStyle21"/>
                <w:sz w:val="18"/>
                <w:szCs w:val="18"/>
                <w:lang w:val="en-US" w:eastAsia="en-US"/>
              </w:rPr>
              <w:t xml:space="preserve">108 </w:t>
            </w:r>
            <w:r>
              <w:rPr>
                <w:rStyle w:val="CharStyle21"/>
                <w:sz w:val="18"/>
                <w:szCs w:val="18"/>
              </w:rPr>
              <w:t>д/м.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rStyle w:val="CharStyle21"/>
                <w:sz w:val="18"/>
                <w:szCs w:val="18"/>
              </w:rPr>
              <w:t xml:space="preserve">Угол свечения: </w:t>
            </w:r>
            <w:r>
              <w:rPr>
                <w:rStyle w:val="CharStyle21"/>
                <w:sz w:val="18"/>
                <w:szCs w:val="18"/>
                <w:lang w:val="en-US" w:eastAsia="en-US"/>
              </w:rPr>
              <w:t xml:space="preserve">120 </w:t>
            </w:r>
            <w:r>
              <w:rPr>
                <w:rStyle w:val="CharStyle21"/>
                <w:sz w:val="18"/>
                <w:szCs w:val="18"/>
              </w:rPr>
              <w:t>градусов.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rStyle w:val="CharStyle21"/>
                <w:sz w:val="18"/>
                <w:szCs w:val="18"/>
              </w:rPr>
              <w:t xml:space="preserve">Эксплуатационная температура окружающей среды: от </w:t>
            </w:r>
            <w:r>
              <w:rPr>
                <w:rStyle w:val="CharStyle21"/>
                <w:sz w:val="18"/>
                <w:szCs w:val="18"/>
                <w:lang w:val="en-US" w:eastAsia="en-US"/>
              </w:rPr>
              <w:t xml:space="preserve">- 20ºС </w:t>
            </w:r>
            <w:r>
              <w:rPr>
                <w:rStyle w:val="CharStyle21"/>
                <w:sz w:val="18"/>
                <w:szCs w:val="18"/>
              </w:rPr>
              <w:t xml:space="preserve">до </w:t>
            </w:r>
            <w:r>
              <w:rPr>
                <w:rStyle w:val="CharStyle21"/>
                <w:sz w:val="18"/>
                <w:szCs w:val="18"/>
                <w:lang w:val="en-US" w:eastAsia="en-US"/>
              </w:rPr>
              <w:t>+45ºС.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rStyle w:val="CharStyle21"/>
                <w:sz w:val="18"/>
                <w:szCs w:val="18"/>
              </w:rPr>
              <w:t xml:space="preserve">Степень защиты по ГОСТ </w:t>
            </w:r>
            <w:r>
              <w:rPr>
                <w:rStyle w:val="CharStyle21"/>
                <w:sz w:val="18"/>
                <w:szCs w:val="18"/>
                <w:lang w:val="en-US" w:eastAsia="en-US"/>
              </w:rPr>
              <w:t xml:space="preserve">14254-2015 </w:t>
            </w:r>
            <w:r>
              <w:rPr>
                <w:rStyle w:val="CharStyle21"/>
                <w:sz w:val="18"/>
                <w:szCs w:val="18"/>
              </w:rPr>
              <w:t xml:space="preserve">не ниже </w:t>
            </w:r>
            <w:r>
              <w:rPr>
                <w:rStyle w:val="CharStyle21"/>
                <w:sz w:val="18"/>
                <w:szCs w:val="18"/>
                <w:lang w:val="en-US" w:eastAsia="en-US"/>
              </w:rPr>
              <w:t>IP65.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rStyle w:val="CharStyle21"/>
                <w:sz w:val="18"/>
                <w:szCs w:val="18"/>
              </w:rPr>
              <w:t>Световой короб «Герб» из оргстекла и ПВХ с подсветкой из пиксельных диодов в герметичном модуле с блоком питания.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rStyle w:val="CharStyle21"/>
                <w:sz w:val="18"/>
                <w:szCs w:val="18"/>
              </w:rPr>
              <w:t xml:space="preserve">Размер </w:t>
            </w:r>
            <w:r>
              <w:rPr>
                <w:rStyle w:val="CharStyle21"/>
                <w:sz w:val="18"/>
                <w:szCs w:val="18"/>
                <w:lang w:val="en-US" w:eastAsia="en-US"/>
              </w:rPr>
              <w:t xml:space="preserve">0,5*0,63 </w:t>
            </w:r>
            <w:r>
              <w:rPr>
                <w:rStyle w:val="CharStyle21"/>
                <w:sz w:val="18"/>
                <w:szCs w:val="18"/>
              </w:rPr>
              <w:t>м.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rStyle w:val="CharStyle21"/>
                <w:sz w:val="18"/>
                <w:szCs w:val="18"/>
              </w:rPr>
              <w:t xml:space="preserve">Степень защиты по ГОСТ </w:t>
            </w:r>
            <w:r>
              <w:rPr>
                <w:rStyle w:val="CharStyle21"/>
                <w:sz w:val="18"/>
                <w:szCs w:val="18"/>
                <w:lang w:val="en-US" w:eastAsia="en-US"/>
              </w:rPr>
              <w:t xml:space="preserve">14254-2015: </w:t>
            </w:r>
            <w:r>
              <w:rPr>
                <w:rStyle w:val="CharStyle21"/>
                <w:sz w:val="18"/>
                <w:szCs w:val="18"/>
              </w:rPr>
              <w:t xml:space="preserve">не ниже </w:t>
            </w:r>
            <w:r>
              <w:rPr>
                <w:rStyle w:val="CharStyle21"/>
                <w:sz w:val="18"/>
                <w:szCs w:val="18"/>
                <w:lang w:val="en-US" w:eastAsia="en-US"/>
              </w:rPr>
              <w:t>IP54.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Относительно довода Заявителя о том, что применяемые Заказчиком наименования материалов, такие как «Основание у столба», «Горизонтальные перемычки», «Рама» не дают понимания того, как именно упомянутые наименования относятся к закупаемому товару, Комиссия Управления отмечает, что объектом закупки является выполнение работ по изготовлению и монтажу светодиодных консолей на одной из улиц города.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Кроме того, как следует из пояснений представителя Заказчика, данных им в ходе заседания Комиссии, представленный образец консоль отражает как все части этой конструкции крепятся к столбу и для каких функций они нужны и не допускают двусмысленного толкования.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Данный довод представитель МКУ «АТИ г. Кургана» подтвердил и тем фактом, что на рассматриваемую закупку было подано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>заявок, следовательно, у этих профессиональных участников рынка не возникло вопросов в части исполнения светодиодных консолей.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Относительно указанного в Таблице </w:t>
      </w:r>
      <w:r>
        <w:rPr>
          <w:rStyle w:val="CharStyle13"/>
          <w:lang w:val="en-US" w:eastAsia="en-US"/>
        </w:rPr>
        <w:t xml:space="preserve">№ 1 </w:t>
      </w:r>
      <w:r>
        <w:rPr>
          <w:rStyle w:val="CharStyle13"/>
        </w:rPr>
        <w:t xml:space="preserve">сокращения д/м представитель Заказчика пояснил, что поскольку оно указано после числа диодов, это обозначает количество диодов на единицу изменения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метр), сокращение д/м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>означает число диодов на метр.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части довода об указании Заказчиком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различных степеней защиты в Таблице </w:t>
      </w:r>
      <w:r>
        <w:rPr>
          <w:rStyle w:val="CharStyle13"/>
          <w:lang w:val="en-US" w:eastAsia="en-US"/>
        </w:rPr>
        <w:t xml:space="preserve">№ 1, </w:t>
      </w:r>
      <w:r>
        <w:rPr>
          <w:rStyle w:val="CharStyle13"/>
        </w:rPr>
        <w:t>Комиссией Управления установлено, что в первом случае указана степень защиты для металлической конструкции консоли.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Во втором случае степень защиты по ГОСТ </w:t>
      </w:r>
      <w:r>
        <w:rPr>
          <w:rStyle w:val="CharStyle13"/>
          <w:lang w:val="en-US" w:eastAsia="en-US"/>
        </w:rPr>
        <w:t xml:space="preserve">14254-2015: </w:t>
      </w:r>
      <w:r>
        <w:rPr>
          <w:rStyle w:val="CharStyle13"/>
        </w:rPr>
        <w:t xml:space="preserve">не ниже </w:t>
      </w:r>
      <w:r>
        <w:rPr>
          <w:rStyle w:val="CharStyle13"/>
          <w:lang w:val="en-US" w:eastAsia="en-US"/>
        </w:rPr>
        <w:t xml:space="preserve">IP54, </w:t>
      </w:r>
      <w:r>
        <w:rPr>
          <w:rStyle w:val="CharStyle13"/>
        </w:rPr>
        <w:t>предусмотрена для Светового короба «Герб» из оргстекла и ПВХ с подсветкой из пиксельных диодов в герметичном модуле с блоком питания.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Представитель МКУ «АТИ г. Кургана» также пояснил, что степень защиты указана после описания каждого материала.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Как пояснил представитель Заказчика, листовое железо толщиной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мм и шириной </w:t>
      </w:r>
      <w:r>
        <w:rPr>
          <w:rStyle w:val="CharStyle13"/>
          <w:lang w:val="en-US" w:eastAsia="en-US"/>
        </w:rPr>
        <w:t xml:space="preserve">15 </w:t>
      </w:r>
      <w:r>
        <w:rPr>
          <w:rStyle w:val="CharStyle13"/>
        </w:rPr>
        <w:t>мм представляет собой полосу, используемую для монтажных, отделочных и декоративных работ. Популярные материалы: сталь (черная, оцинкованная, нержавеющая). Купить такой материал можно как на маркетплейсах, так и в иных торговых сетях и магазинах.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Комиссия Управления отмечает, что объектом закупки выступают работы по изготовлению и монтажу консолей, а не их поставка с установлением определенных характеристик к закупаемым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товарам.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В части довода Заявителя об отсутствии технических характеристик для указанного в локальном сметном расчете «Шкафа управления наружным освещением ШУНО», представитель МКУ «АТИ г. Кургана» пояснил, что какие-либо требования к наполнению ШУНО Заказчиком не устанавливались, поскольку он не является объектом закупки, а лишь будет использоваться для поддержания работоспособности линии со светодиодными консолями, наполнение ШУНО зависит от количества подключенного оборудования и иных моментов и должно определяться исполнителем в ходе выполнения работ по контракту, с учетом требований к безопасности таких объектов.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Комиссия Управления также отмечает, что ШУНО является по сути материалом, который должен быть установлен для работоспособности светодиодных консолей, но он не является самостоятельным предметом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Таким образом, проанализировав содержание извещения об осуществлении закупки пояснения участвующих лиц, Комиссия Управления пришла к выводу о необоснованности жалобы Заявителя.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3"/>
        </w:rPr>
        <w:t xml:space="preserve">На основании изложенного и руководствуясь статьями </w:t>
      </w:r>
      <w:r>
        <w:rPr>
          <w:rStyle w:val="CharStyle13"/>
          <w:lang w:val="en-US" w:eastAsia="en-US"/>
        </w:rPr>
        <w:t xml:space="preserve">99, 106 </w:t>
      </w:r>
      <w:r>
        <w:rPr>
          <w:rStyle w:val="CharStyle13"/>
        </w:rPr>
        <w:t>Закона о контрактной системе, Комиссия Управления,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3"/>
        </w:rPr>
        <w:t>РЕШИЛА: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3"/>
        </w:rPr>
        <w:t>Признать жалобу Индивидуального предпринимателя Хрущевой Анастасии Дмитриевны 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003" w:right="539" w:bottom="1213" w:left="1104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13"/>
        </w:rPr>
        <w:t xml:space="preserve">В соответствии с частью </w:t>
      </w:r>
      <w:r>
        <w:rPr>
          <w:rStyle w:val="CharStyle13"/>
          <w:lang w:val="en-US" w:eastAsia="en-US"/>
        </w:rPr>
        <w:t xml:space="preserve">9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>Закона о контрактной системе, решение может быть обжаловано в судебном порядке в течение трех месяцев с даты его принятия.</w:t>
      </w:r>
    </w:p>
    <w:p>
      <w:pPr>
        <w:widowControl w:val="0"/>
        <w:spacing w:line="219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97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framePr w:w="2779" w:h="1282" w:wrap="none" w:vAnchor="text" w:hAnchor="page" w:x="116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Заместитель Председателя</w:t>
      </w:r>
    </w:p>
    <w:p>
      <w:pPr>
        <w:pStyle w:val="Style12"/>
        <w:keepNext w:val="0"/>
        <w:keepLines w:val="0"/>
        <w:framePr w:w="2779" w:h="1282" w:wrap="none" w:vAnchor="text" w:hAnchor="page" w:x="1162" w:y="21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w:rPr>
          <w:rStyle w:val="CharStyle13"/>
        </w:rPr>
        <w:t>Комиссии</w:t>
      </w:r>
    </w:p>
    <w:p>
      <w:pPr>
        <w:pStyle w:val="Style12"/>
        <w:keepNext w:val="0"/>
        <w:keepLines w:val="0"/>
        <w:framePr w:w="2779" w:h="1282" w:wrap="none" w:vAnchor="text" w:hAnchor="page" w:x="116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Члены Комиссии:</w:t>
      </w:r>
    </w:p>
    <w:p>
      <w:pPr>
        <w:pStyle w:val="Style24"/>
        <w:keepNext w:val="0"/>
        <w:keepLines w:val="0"/>
        <w:framePr w:w="1267" w:h="125" w:wrap="none" w:vAnchor="text" w:hAnchor="page" w:x="5948" w:y="414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rStyle w:val="CharStyle25"/>
          <w:b/>
          <w:bCs/>
        </w:rPr>
        <w:t>СВЕДЕНИЯ О СЕРТИФИКАТЕ ЭП</w:t>
      </w:r>
    </w:p>
    <w:p>
      <w:pPr>
        <w:pStyle w:val="Style12"/>
        <w:keepNext w:val="0"/>
        <w:keepLines w:val="0"/>
        <w:framePr w:w="1584" w:h="283" w:wrap="none" w:vAnchor="text" w:hAnchor="page" w:x="9740" w:y="2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М.П. Чеботина</w:t>
      </w:r>
    </w:p>
    <w:p>
      <w:pPr>
        <w:pStyle w:val="Style26"/>
        <w:keepNext w:val="0"/>
        <w:keepLines w:val="0"/>
        <w:framePr w:w="2160" w:h="312" w:wrap="none" w:vAnchor="text" w:hAnchor="page" w:x="5516" w:y="5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7"/>
        </w:rPr>
        <w:t xml:space="preserve">Кому выдан: </w:t>
      </w:r>
      <w:r>
        <w:rPr>
          <w:rStyle w:val="CharStyle27"/>
          <w:color w:val="222222"/>
        </w:rPr>
        <w:t>Чеботина Марина Петровна</w:t>
      </w:r>
    </w:p>
    <w:p>
      <w:pPr>
        <w:pStyle w:val="Style26"/>
        <w:keepNext w:val="0"/>
        <w:keepLines w:val="0"/>
        <w:framePr w:w="2160" w:h="312" w:wrap="none" w:vAnchor="text" w:hAnchor="page" w:x="5516" w:y="5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7"/>
        </w:rPr>
        <w:t xml:space="preserve">Сертификат № </w:t>
      </w:r>
      <w:r>
        <w:rPr>
          <w:rStyle w:val="CharStyle27"/>
          <w:lang w:val="en-US" w:eastAsia="en-US"/>
        </w:rPr>
        <w:t>00F7E91703B8ED0BD95FBE3BFB79401D4</w:t>
      </w:r>
      <w:r>
        <w:rPr>
          <w:rStyle w:val="CharStyle27"/>
          <w:lang w:val="en-US" w:eastAsia="en-US"/>
        </w:rPr>
        <w:t>0</w:t>
      </w:r>
    </w:p>
    <w:p>
      <w:pPr>
        <w:pStyle w:val="Style26"/>
        <w:keepNext w:val="0"/>
        <w:keepLines w:val="0"/>
        <w:framePr w:w="2160" w:h="312" w:wrap="none" w:vAnchor="text" w:hAnchor="page" w:x="5516" w:y="5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7"/>
        </w:rPr>
        <w:t xml:space="preserve">Действителен с 17.06.2025 </w:t>
      </w:r>
      <w:r>
        <w:rPr>
          <w:rStyle w:val="CharStyle27"/>
          <w:color w:val="8F8F8F"/>
        </w:rPr>
        <w:t xml:space="preserve">по </w:t>
      </w:r>
      <w:r>
        <w:rPr>
          <w:rStyle w:val="CharStyle27"/>
        </w:rPr>
        <w:t>10.09.2026</w:t>
      </w:r>
    </w:p>
    <w:p>
      <w:pPr>
        <w:pStyle w:val="Style12"/>
        <w:keepNext w:val="0"/>
        <w:keepLines w:val="0"/>
        <w:framePr w:w="1358" w:h="346" w:wrap="none" w:vAnchor="text" w:hAnchor="page" w:x="9966" w:y="13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3"/>
        </w:rPr>
        <w:t>М.С. Дудина</w:t>
      </w:r>
    </w:p>
    <w:p>
      <w:pPr>
        <w:pStyle w:val="Style26"/>
        <w:keepNext w:val="0"/>
        <w:keepLines w:val="0"/>
        <w:framePr w:w="2160" w:h="312" w:wrap="none" w:vAnchor="text" w:hAnchor="page" w:x="5478" w:y="18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7"/>
        </w:rPr>
        <w:t xml:space="preserve">Кому выдан: </w:t>
      </w:r>
      <w:r>
        <w:rPr>
          <w:rStyle w:val="CharStyle27"/>
          <w:color w:val="222222"/>
        </w:rPr>
        <w:t>Дудина Марина Сергеевна</w:t>
      </w:r>
    </w:p>
    <w:p>
      <w:pPr>
        <w:pStyle w:val="Style26"/>
        <w:keepNext w:val="0"/>
        <w:keepLines w:val="0"/>
        <w:framePr w:w="2160" w:h="312" w:wrap="none" w:vAnchor="text" w:hAnchor="page" w:x="5478" w:y="18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7"/>
        </w:rPr>
        <w:t>С</w:t>
      </w:r>
      <w:r>
        <w:rPr>
          <w:rStyle w:val="CharStyle27"/>
        </w:rPr>
        <w:t xml:space="preserve">ертификат </w:t>
      </w:r>
      <w:r>
        <w:rPr>
          <w:rStyle w:val="CharStyle27"/>
          <w:color w:val="222222"/>
        </w:rPr>
        <w:t xml:space="preserve">№ </w:t>
      </w:r>
      <w:r>
        <w:rPr>
          <w:rStyle w:val="CharStyle27"/>
          <w:lang w:val="en-US" w:eastAsia="en-US"/>
        </w:rPr>
        <w:t>0088C78770E9DBAD43BC8545A7BA6BA6</w:t>
      </w:r>
      <w:r>
        <w:rPr>
          <w:rStyle w:val="CharStyle27"/>
          <w:lang w:val="en-US" w:eastAsia="en-US"/>
        </w:rPr>
        <w:t>B(</w:t>
      </w:r>
    </w:p>
    <w:p>
      <w:pPr>
        <w:pStyle w:val="Style26"/>
        <w:keepNext w:val="0"/>
        <w:keepLines w:val="0"/>
        <w:framePr w:w="2160" w:h="312" w:wrap="none" w:vAnchor="text" w:hAnchor="page" w:x="5478" w:y="18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7"/>
        </w:rPr>
        <w:t>Действителен с 10.11.2025 по 03.02.2027</w:t>
      </w:r>
    </w:p>
    <w:p>
      <w:pPr>
        <w:pStyle w:val="Style12"/>
        <w:keepNext w:val="0"/>
        <w:keepLines w:val="0"/>
        <w:framePr w:w="1598" w:h="341" w:wrap="none" w:vAnchor="text" w:hAnchor="page" w:x="9726" w:y="22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М.Ю. Базанова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3520440</wp:posOffset>
            </wp:positionH>
            <wp:positionV relativeFrom="paragraph">
              <wp:posOffset>36830</wp:posOffset>
            </wp:positionV>
            <wp:extent cx="182880" cy="21336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82880" cy="2133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478790" distB="0" distL="0" distR="27305" simplePos="0" relativeHeight="62914695" behindDoc="1" locked="0" layoutInCell="1" allowOverlap="1">
            <wp:simplePos x="0" y="0"/>
            <wp:positionH relativeFrom="page">
              <wp:posOffset>3474720</wp:posOffset>
            </wp:positionH>
            <wp:positionV relativeFrom="paragraph">
              <wp:posOffset>838200</wp:posOffset>
            </wp:positionV>
            <wp:extent cx="1371600" cy="34163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371600" cy="3416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399415" distB="0" distL="0" distR="6350" simplePos="0" relativeHeight="62914696" behindDoc="1" locked="0" layoutInCell="1" allowOverlap="1">
            <wp:simplePos x="0" y="0"/>
            <wp:positionH relativeFrom="page">
              <wp:posOffset>3441065</wp:posOffset>
            </wp:positionH>
            <wp:positionV relativeFrom="paragraph">
              <wp:posOffset>1576070</wp:posOffset>
            </wp:positionV>
            <wp:extent cx="1402080" cy="58547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402080" cy="5854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6" w:bottom="97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9986645</wp:posOffset>
              </wp:positionV>
              <wp:extent cx="655320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</w:rPr>
                            <w:t>2026-2045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850000000000001pt;margin-top:786.35000000000002pt;width:51.60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</w:rPr>
                      <w:t>2026-2045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9986645</wp:posOffset>
              </wp:positionV>
              <wp:extent cx="655320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  <w:lang w:val="ru-RU" w:eastAsia="ru-RU"/>
                            </w:rPr>
                            <w:t>2026-2045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25pt;margin-top:786.35000000000002pt;width:51.60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  <w:lang w:val="ru-RU" w:eastAsia="ru-RU"/>
                      </w:rPr>
                      <w:t>2026-2045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6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34"/>
      <w:szCs w:val="134"/>
      <w:u w:val="none"/>
      <w:lang w:val="en-US" w:eastAsia="en-US"/>
    </w:rPr>
  </w:style>
  <w:style w:type="character" w:customStyle="1" w:styleId="CharStyle5">
    <w:name w:val="Body text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8">
    <w:name w:val="Body text (5)_"/>
    <w:basedOn w:val="DefaultParagraphFont"/>
    <w:link w:val="Styl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10">
    <w:name w:val="Body text (4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Header or footer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9">
    <w:name w:val="Heading #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character" w:customStyle="1" w:styleId="CharStyle21">
    <w:name w:val="Other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5">
    <w:name w:val="Body text (3)_"/>
    <w:basedOn w:val="DefaultParagraphFont"/>
    <w:link w:val="Style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D1D1D1"/>
      <w:sz w:val="8"/>
      <w:szCs w:val="8"/>
      <w:u w:val="none"/>
    </w:rPr>
  </w:style>
  <w:style w:type="character" w:customStyle="1" w:styleId="CharStyle27">
    <w:name w:val="Picture caption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6D6D6D"/>
      <w:sz w:val="8"/>
      <w:szCs w:val="8"/>
      <w:u w:val="none"/>
    </w:rPr>
  </w:style>
  <w:style w:type="paragraph" w:customStyle="1" w:styleId="Style2">
    <w:name w:val="Body text (6)"/>
    <w:basedOn w:val="Normal"/>
    <w:link w:val="CharStyle3"/>
    <w:pPr>
      <w:widowControl w:val="0"/>
      <w:shd w:val="clear" w:color="auto" w:fill="auto"/>
      <w:spacing w:after="1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34"/>
      <w:szCs w:val="134"/>
      <w:u w:val="none"/>
      <w:lang w:val="en-US" w:eastAsia="en-US"/>
    </w:rPr>
  </w:style>
  <w:style w:type="paragraph" w:customStyle="1" w:styleId="Style4">
    <w:name w:val="Body text (2)"/>
    <w:basedOn w:val="Normal"/>
    <w:link w:val="CharStyle5"/>
    <w:pPr>
      <w:widowControl w:val="0"/>
      <w:shd w:val="clear" w:color="auto" w:fill="auto"/>
      <w:spacing w:after="200" w:line="28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7">
    <w:name w:val="Body text (5)"/>
    <w:basedOn w:val="Normal"/>
    <w:link w:val="CharStyle8"/>
    <w:pPr>
      <w:widowControl w:val="0"/>
      <w:shd w:val="clear" w:color="auto" w:fill="auto"/>
      <w:spacing w:after="80" w:line="259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customStyle="1" w:styleId="Style9">
    <w:name w:val="Body text (4)"/>
    <w:basedOn w:val="Normal"/>
    <w:link w:val="CharStyle10"/>
    <w:pPr>
      <w:widowControl w:val="0"/>
      <w:shd w:val="clear" w:color="auto" w:fill="auto"/>
      <w:spacing w:after="32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4">
    <w:name w:val="Header or footer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8">
    <w:name w:val="Heading #1"/>
    <w:basedOn w:val="Normal"/>
    <w:link w:val="CharStyle19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20">
    <w:name w:val="Other"/>
    <w:basedOn w:val="Normal"/>
    <w:link w:val="CharStyle2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4">
    <w:name w:val="Body text (3)"/>
    <w:basedOn w:val="Normal"/>
    <w:link w:val="CharStyle25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D1D1D1"/>
      <w:sz w:val="8"/>
      <w:szCs w:val="8"/>
      <w:u w:val="none"/>
    </w:rPr>
  </w:style>
  <w:style w:type="paragraph" w:customStyle="1" w:styleId="Style26">
    <w:name w:val="Picture caption"/>
    <w:basedOn w:val="Normal"/>
    <w:link w:val="CharStyle27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D6D6D"/>
      <w:sz w:val="8"/>
      <w:szCs w:val="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Relationship Id="rId11" Type="http://schemas.openxmlformats.org/officeDocument/2006/relationships/image" Target="media/image3.png"/><Relationship Id="rId12" Type="http://schemas.openxmlformats.org/officeDocument/2006/relationships/image" Target="media/image3.png" TargetMode="External"/></Relationships>
</file>