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4.05.2026</w:t>
        <w:tab/>
      </w:r>
      <w:r>
        <w:fldChar w:fldCharType="end"/>
      </w:r>
      <w:r>
        <w:rPr>
          <w:rStyle w:val="CharStyle11"/>
        </w:rPr>
        <w:t>№ АА/5091/26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9"/>
        </w:rPr>
        <w:t xml:space="preserve">На№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Строймост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г.Санкт-Петербург,наб.Обводного канала,д.24,лит.А </w:t>
      </w:r>
      <w:r>
        <w:fldChar w:fldCharType="begin"/>
      </w:r>
      <w:r>
        <w:rPr/>
        <w:instrText> HYPERLINK "mailto:stroimostmed@yandex.ru" </w:instrText>
      </w:r>
      <w:r>
        <w:fldChar w:fldCharType="separate"/>
      </w:r>
      <w:r>
        <w:rPr>
          <w:rStyle w:val="CharStyle17"/>
          <w:lang w:val="en-US" w:eastAsia="en-US"/>
        </w:rPr>
        <w:t>stroimostmed@yandex.ru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ФЕДЕРАЛЬНОЕ ГОСУДАРСТВЕННОЕ БЮДЖЕТНОЕ ОБРАЗОВАТЕЛЬНОЕ УЧРЕЖДЕНИЕ ВЫСШЕГО ОБРАЗОВАНИЯ "БАШКИРСКИЙ ГОСУДАРСТВЕННЫЙ МЕДИЦИНСКИЙ УНИВЕРСИТЕТ" МИНИСТЕРСТВА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ЗДРАВООХРАНЕНИЯ РОССИЙСКОЙ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ФЕДЕРАЦИИ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450008, РЕСПУБЛИКА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БАШКОРТОСТАН, Г УФА, УЛ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ЛЕНИНА, Д. 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23" w:bottom="1313" w:left="1135" w:header="0" w:footer="3" w:gutter="0"/>
          <w:pgNumType w:start="1"/>
          <w:cols w:num="2" w:space="720" w:equalWidth="0">
            <w:col w:w="4229" w:space="1042"/>
            <w:col w:w="487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"mailto:rectorat@bashgmu.ru" </w:instrText>
      </w:r>
      <w:r>
        <w:fldChar w:fldCharType="separate"/>
      </w:r>
      <w:r>
        <w:rPr>
          <w:rStyle w:val="CharStyle17"/>
          <w:lang w:val="en-US" w:eastAsia="en-US"/>
        </w:rPr>
        <w:t>rectorat@bashgmu.ru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fldChar w:fldCharType="begin"/>
      </w:r>
      <w:r>
        <w:rPr/>
        <w:instrText> HYPERLINK "mailto:torgibgmu@mail.ru" </w:instrText>
      </w:r>
      <w:r>
        <w:fldChar w:fldCharType="separate"/>
      </w:r>
      <w:r>
        <w:rPr>
          <w:rStyle w:val="CharStyle17"/>
          <w:lang w:val="en-US" w:eastAsia="en-US"/>
        </w:rPr>
        <w:t>torgibgmu@mail.ru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fldChar w:fldCharType="begin"/>
      </w:r>
      <w:r>
        <w:rPr/>
        <w:instrText> HYPERLINK "mailto:Torgi_klinik@mail.ru" </w:instrText>
      </w:r>
      <w:r>
        <w:fldChar w:fldCharType="separate"/>
      </w:r>
      <w:r>
        <w:rPr>
          <w:rStyle w:val="CharStyle17"/>
          <w:lang w:val="en-US" w:eastAsia="en-US"/>
        </w:rPr>
        <w:t>Torgi_klinik@mail.ru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39" w:right="0" w:bottom="13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РЕШЕНИЕ № ТО 002/06/106-877/2026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363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7"/>
        </w:rPr>
        <w:t>«12» мая 2026 года</w:t>
        <w:tab/>
        <w:t>г. Уфа, ул. Пушкина, 95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Комиссия Управления Федеральной антимонопольной службы по Республике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Башкортостан по контролю в сфере закупок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специалист-эксперт отдела контроля закупок – Исламов И.Т.;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специалист-эксперт отдела контроля закупок – Шакиров Д.Р.;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Посредством видеоконференцсвязи: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  <w:b/>
          <w:bCs/>
        </w:rPr>
        <w:t>Заказчик</w:t>
      </w:r>
      <w:r>
        <w:rPr>
          <w:rStyle w:val="CharStyle17"/>
        </w:rPr>
        <w:t>: ФГБОУ ВО БГМУ МЗ РФ;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7"/>
          <w:b/>
          <w:bCs/>
        </w:rPr>
        <w:t xml:space="preserve">Заявитель: </w:t>
      </w:r>
      <w:r>
        <w:rPr>
          <w:rStyle w:val="CharStyle17"/>
        </w:rPr>
        <w:t>ООО «СТРОЙМОСТ»,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7"/>
          <w:b/>
          <w:bCs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7"/>
        </w:rPr>
        <w:t>В адрес Управления Федеральной антимонопольной службы по Республике Башкортостан поступила жалоба от ООО «СТРОЙМОСТ» (вх. 6845/26 от 05.05 202 ) на действия Заказчика при проведении закупки № 0301100049626000557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«Поставка медицинских изделий (Индикаторы, тесты) для нужд Клиники БГМУ, ВЦГПХ.».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По мнению Заявителя, нарушен Федеральный закон от 05.04.2013г.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Закон о контрактной системе), а именно жалоба на положения Извещения о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Жалоба подана в соответствии с требованиями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Информация о поступлении жалобы в соответствии с 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>Закона о контрактной системе размещена в единой информационной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 была представлена информация по закупке </w:t>
      </w:r>
      <w:r>
        <w:rPr>
          <w:rStyle w:val="CharStyle17"/>
          <w:lang w:val="en-US" w:eastAsia="en-US"/>
        </w:rPr>
        <w:t>№ 0301100049626000557.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Комиссия Башкортостанского УФАС России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Комиссия), изучив и рассмотрев представленные материалы дела,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  <w:lang w:val="en-US" w:eastAsia="en-US"/>
        </w:rPr>
        <w:t xml:space="preserve">27.04.2026 </w:t>
      </w:r>
      <w:r>
        <w:rPr>
          <w:rStyle w:val="CharStyle17"/>
        </w:rPr>
        <w:t xml:space="preserve">на официальном сайте Единой информационной системы в сфере закупок размещено извещение о проведении закупки </w:t>
      </w:r>
      <w:r>
        <w:rPr>
          <w:rStyle w:val="CharStyle17"/>
          <w:lang w:val="en-US" w:eastAsia="en-US"/>
        </w:rPr>
        <w:t>№0301100049626000557.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— 2 027 224,00 </w:t>
      </w:r>
      <w:r>
        <w:rPr>
          <w:rStyle w:val="CharStyle17"/>
        </w:rPr>
        <w:t>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Дата окончания подачи заявок </w:t>
      </w:r>
      <w:r>
        <w:rPr>
          <w:rStyle w:val="CharStyle17"/>
          <w:lang w:val="en-US" w:eastAsia="en-US"/>
        </w:rPr>
        <w:t>— 05.05.2026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Заявитель в своей жалобе указывает, что Заказчиком по позиции </w:t>
      </w:r>
      <w:r>
        <w:rPr>
          <w:rStyle w:val="CharStyle17"/>
          <w:lang w:val="en-US" w:eastAsia="en-US"/>
        </w:rPr>
        <w:t xml:space="preserve">212626640 </w:t>
      </w:r>
      <w:r>
        <w:rPr>
          <w:rStyle w:val="CharStyle17"/>
        </w:rPr>
        <w:t xml:space="preserve">товар описан таким образом, что к поставке может быть предложен товар единственного производителя. В основном описание товара повторяет формулировки раздела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«Назначение» и раздела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«Основные технические характеристики» инструкции </w:t>
      </w:r>
      <w:r>
        <w:rPr>
          <w:rStyle w:val="CharStyle17"/>
          <w:lang w:val="en-US" w:eastAsia="en-US"/>
        </w:rPr>
        <w:t xml:space="preserve">154.704.2015 </w:t>
      </w:r>
      <w:r>
        <w:rPr>
          <w:rStyle w:val="CharStyle17"/>
        </w:rPr>
        <w:t>ИП на товар «Индикатор химический одноразовый для испытания паровых стерилизаторов на удаление воздуха и паропроницаемость «Лист Бови-Дик-ВИНАР».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Заказчик считает жалобу ООО «СТРОЙМОСТ» необоснованной и просит отказать в ее удовлетворении.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В ходе рассмотрения жалобы по существу, Комиссией Башкортостанского УФАС России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Статья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предписывает заказчику при описании в документации о закупке объекта закупки руководствоваться правилами, изложенными в указанной статье.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определено, что описание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объекта закупки в соответствии с требованиями, указанными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Заказчик самостоятельно формирует объект закупки исходя из своих потребностей. При описании товара заказчик вправе указывать качественные параметры объекта закупки, которые являются значимыми и определяющими для него в силу специфики приобретаемого оборудования.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860"/>
        <w:jc w:val="both"/>
      </w:pPr>
      <w:r>
        <w:rPr>
          <w:rStyle w:val="CharStyle17"/>
        </w:rPr>
        <w:t>В ходе рассмотрения жалобы Заказчиком была предоставлена сравнительная таблица:</w:t>
      </w:r>
    </w:p>
    <w:tbl>
      <w:tblPr>
        <w:tblOverlap w:val="never"/>
        <w:jc w:val="center"/>
        <w:tblLayout w:type="fixed"/>
      </w:tblPr>
      <w:tblGrid>
        <w:gridCol w:w="3274"/>
        <w:gridCol w:w="2294"/>
        <w:gridCol w:w="2064"/>
        <w:gridCol w:w="2395"/>
      </w:tblGrid>
      <w:tr>
        <w:trPr>
          <w:trHeight w:val="8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leader="underscore" w:pos="1532" w:val="left"/>
              </w:tabs>
              <w:bidi w:val="0"/>
              <w:spacing w:before="0" w:after="320" w:line="240" w:lineRule="auto"/>
              <w:ind w:left="0" w:right="0" w:firstLine="500"/>
              <w:jc w:val="left"/>
              <w:rPr>
                <w:sz w:val="17"/>
                <w:szCs w:val="17"/>
              </w:rPr>
            </w:pPr>
            <w:r>
              <w:rPr>
                <w:rStyle w:val="CharStyle23"/>
                <w:color w:val="464647"/>
                <w:sz w:val="17"/>
                <w:szCs w:val="17"/>
                <w:lang w:val="en-US" w:eastAsia="en-US"/>
              </w:rPr>
              <w:tab/>
            </w:r>
            <w:r>
              <w:rPr>
                <w:rStyle w:val="CharStyle23"/>
                <w:color w:val="464647"/>
                <w:sz w:val="17"/>
                <w:szCs w:val="17"/>
                <w:u w:val="single"/>
              </w:rPr>
              <w:t>Сравнительная таблиц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leader="underscore" w:pos="2251" w:val="left"/>
              </w:tabs>
              <w:bidi w:val="0"/>
              <w:spacing w:before="0" w:after="22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Ц</w:t>
            </w:r>
            <w:r>
              <w:rPr>
                <w:rStyle w:val="CharStyle23"/>
                <w:rFonts w:ascii="Arial" w:eastAsia="Arial" w:hAnsi="Arial" w:cs="Arial"/>
                <w:sz w:val="15"/>
                <w:szCs w:val="15"/>
              </w:rPr>
              <w:tab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Лист Бови-Дик-ВИНАР РЗН 2017/5403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  <w:lang w:val="en-US" w:eastAsia="en-US"/>
              </w:rPr>
              <w:t xml:space="preserve">MGtest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 xml:space="preserve">Бови-Дик-карта 2 класс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РЗН 2021/15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  <w:u w:val="single"/>
              </w:rPr>
              <w:t>718</w:t>
            </w:r>
          </w:p>
        </w:tc>
      </w:tr>
      <w:tr>
        <w:trPr>
          <w:trHeight w:val="12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3.1 Индикатор стерилизации, реагирующий на характерные химические или физические изменения одного или нескольких физических условий внутри стерилизационной камеры. Это изделие одноразового использования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соответствие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leader="underscore" w:pos="3000" w:val="left"/>
              </w:tabs>
              <w:bidi w:val="0"/>
              <w:spacing w:before="0" w:after="0" w:line="254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3.2 Изделие изз словлено из бумажного материала, со значением проницаемости воздуха. мя/с*мм2 </w:t>
              <w:tab/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нс менее 0,024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54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0,024 м 1смм2 (стр. 2 инструкции)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0,024 м.1с'мм2 (стр. 2 инструкции)</w:t>
            </w:r>
          </w:p>
        </w:tc>
      </w:tr>
    </w:tbl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55"/>
        <w:gridCol w:w="2251"/>
        <w:gridCol w:w="2016"/>
        <w:gridCol w:w="2582"/>
      </w:tblGrid>
      <w:tr>
        <w:trPr>
          <w:trHeight w:val="14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3.3 Изделие в форме листа: длина,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не менее 250 не более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Длина листа Бови-Дик (275*25) мм (стр. 2 инструкции)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производитель может И31 отовить индикаторы в листах размерами от 50 до 350 мм шириной и от 50 до 350 мм длиной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Ддина (275+25) мм (стр. 2 инструкции)</w:t>
            </w:r>
          </w:p>
        </w:tc>
      </w:tr>
      <w:tr>
        <w:trPr>
          <w:trHeight w:val="15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3.4 Изделие в форме листа! ширина»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не менее 180 не более 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Ширина (200*20) мм (стр.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2 инструкции)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83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производитель может изготовить индикаторы в листах размерами от 50 до 350 мм шириной и от 50 до 350 мм длиной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Ширина (200±20) мм (стр. </w:t>
            </w:r>
            <w:r>
              <w:rPr>
                <w:rStyle w:val="CharStyle23"/>
                <w:rFonts w:ascii="Arial" w:eastAsia="Arial" w:hAnsi="Arial" w:cs="Arial"/>
                <w:color w:val="2D2D2D"/>
                <w:sz w:val="15"/>
                <w:szCs w:val="15"/>
              </w:rPr>
              <w:t xml:space="preserve">2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инструкции)</w:t>
            </w:r>
          </w:p>
        </w:tc>
      </w:tr>
      <w:tr>
        <w:trPr>
          <w:trHeight w:val="8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Изделия, в том числе использованные, утилизируются кик безопасные медицинские отходы класса 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Наличие (стр. 3 инструкции)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Наличие (стр. 5 инструкции)</w:t>
            </w: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leader="underscore" w:pos="3154" w:val="left"/>
              </w:tabs>
              <w:bidi w:val="0"/>
              <w:spacing w:before="0" w:after="0" w:line="276" w:lineRule="auto"/>
              <w:ind w:left="0" w:right="0" w:firstLine="16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3.6 Индикаторный реагент единообразно нанесен на основу изделия и занимает нс менее 30% рабочей поверхности основы; используется в составе стандартного тест- пакета из х/б простыней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Наличие (стр. 2 инструкции)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Наличие (стр. 2 инструкции)</w:t>
            </w:r>
          </w:p>
        </w:tc>
      </w:tr>
      <w:tr>
        <w:trPr>
          <w:trHeight w:val="194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numPr>
                <w:ilvl w:val="1"/>
                <w:numId w:val="1"/>
              </w:numPr>
              <w:shd w:val="clear" w:color="auto" w:fill="auto"/>
              <w:tabs>
                <w:tab w:pos="384" w:val="left"/>
              </w:tabs>
              <w:bidi w:val="0"/>
              <w:spacing w:before="0" w:after="140" w:line="264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Индикаторный реагент наносится на основу изделия печатным методом,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 xml:space="preserve">на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поверхность бумаги нанесена индикаторная композиция, образующая узор</w:t>
            </w:r>
          </w:p>
          <w:p>
            <w:pPr>
              <w:pStyle w:val="Style22"/>
              <w:keepNext w:val="0"/>
              <w:keepLines w:val="0"/>
              <w:widowControl w:val="0"/>
              <w:numPr>
                <w:ilvl w:val="1"/>
                <w:numId w:val="1"/>
              </w:numPr>
              <w:shd w:val="clear" w:color="auto" w:fill="auto"/>
              <w:tabs>
                <w:tab w:pos="724" w:val="left"/>
              </w:tabs>
              <w:bidi w:val="0"/>
              <w:spacing w:before="0" w:after="140" w:line="269" w:lineRule="auto"/>
              <w:ind w:left="0" w:right="0" w:firstLine="34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Гарантийный ср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  <w:u w:val="single"/>
              </w:rPr>
              <w:t>ок годности, мес</w:t>
            </w:r>
          </w:p>
          <w:p>
            <w:pPr>
              <w:pStyle w:val="Style22"/>
              <w:keepNext w:val="0"/>
              <w:keepLines w:val="0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pos="384" w:val="left"/>
              </w:tabs>
              <w:bidi w:val="0"/>
              <w:spacing w:before="0" w:after="140" w:line="27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Изделие используется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 xml:space="preserve">в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тестовых циклах: с циклической откачкой воздуха форвакуумным насосом,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 xml:space="preserve">Т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(С*) /мин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Наличие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leader="underscore" w:pos="2213" w:val="left"/>
              </w:tabs>
              <w:bidi w:val="0"/>
              <w:spacing w:before="0" w:after="380" w:line="240" w:lineRule="auto"/>
              <w:ind w:left="0" w:right="0" w:firstLine="96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  <w:u w:val="single"/>
              </w:rPr>
              <w:t>&gt;30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ab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42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121+3/15+1; 134+3/3,5+0.5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2350" w:val="left"/>
              </w:tabs>
              <w:bidi w:val="0"/>
              <w:spacing w:before="0" w:after="0" w:line="240" w:lineRule="auto"/>
              <w:ind w:left="0" w:right="0" w:firstLine="560"/>
              <w:jc w:val="both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Наличие (стр.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2</w:t>
              <w:tab/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Наличие </w:t>
            </w:r>
            <w:r>
              <w:rPr>
                <w:rStyle w:val="CharStyle23"/>
                <w:rFonts w:ascii="Arial" w:eastAsia="Arial" w:hAnsi="Arial" w:cs="Arial"/>
                <w:color w:val="7A7A7A"/>
                <w:sz w:val="15"/>
                <w:szCs w:val="15"/>
              </w:rPr>
              <w:t xml:space="preserve">(стр.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2 инструкции)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33" w:lineRule="auto"/>
              <w:ind w:left="0" w:right="0" w:firstLine="660"/>
              <w:jc w:val="both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инструкции)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180"/>
              <w:jc w:val="left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36 мес (стр. 3 инструкции)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  <w:u w:val="single"/>
              </w:rPr>
              <w:t xml:space="preserve">72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  <w:u w:val="single"/>
              </w:rPr>
              <w:t>мес (стр. 5 инструкции)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3118" w:val="left"/>
              </w:tabs>
              <w:bidi w:val="0"/>
              <w:spacing w:before="0" w:after="0" w:line="240" w:lineRule="auto"/>
              <w:ind w:left="0" w:right="0" w:firstLine="920"/>
              <w:jc w:val="both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121/15</w:t>
              <w:tab/>
              <w:t>121/15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3138" w:val="left"/>
              </w:tabs>
              <w:bidi w:val="0"/>
              <w:spacing w:before="0" w:after="0" w:line="240" w:lineRule="auto"/>
              <w:ind w:left="0" w:right="0" w:firstLine="920"/>
              <w:jc w:val="both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134/3,5</w:t>
              <w:tab/>
              <w:t>134/3,5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2696" w:val="left"/>
              </w:tabs>
              <w:bidi w:val="0"/>
              <w:spacing w:before="0" w:after="0" w:line="240" w:lineRule="auto"/>
              <w:ind w:left="0" w:right="0" w:firstLine="440"/>
              <w:jc w:val="both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7A7A7A"/>
                <w:sz w:val="15"/>
                <w:szCs w:val="15"/>
              </w:rPr>
              <w:t xml:space="preserve">(стр.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>2 инструкции)</w:t>
              <w:tab/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  <w:u w:val="single"/>
              </w:rPr>
              <w:t>(стр. 2 инструкции)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43" w:val="left"/>
                <w:tab w:leader="underscore" w:pos="1598" w:val="left"/>
              </w:tabs>
              <w:bidi w:val="0"/>
              <w:spacing w:before="0" w:after="100" w:line="240" w:lineRule="auto"/>
              <w:ind w:left="0" w:right="0" w:firstLine="240"/>
              <w:jc w:val="both"/>
              <w:rPr>
                <w:sz w:val="15"/>
                <w:szCs w:val="15"/>
              </w:rPr>
            </w:pP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..</w:t>
              <w:tab/>
            </w:r>
            <w:r>
              <w:rPr>
                <w:rStyle w:val="CharStyle23"/>
                <w:rFonts w:ascii="Arial" w:eastAsia="Arial" w:hAnsi="Arial" w:cs="Arial"/>
                <w:color w:val="7A7A7A"/>
                <w:sz w:val="15"/>
                <w:szCs w:val="15"/>
              </w:rPr>
              <w:tab/>
              <w:t xml:space="preserve">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~АТ1&gt;&gt;с&gt;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  <w:lang w:val="en-US" w:eastAsia="en-US"/>
              </w:rPr>
              <w:t xml:space="preserve">ti-rrtrnn </w:t>
            </w:r>
            <w:r>
              <w:rPr>
                <w:rStyle w:val="CharStyle23"/>
                <w:rFonts w:ascii="Arial" w:eastAsia="Arial" w:hAnsi="Arial" w:cs="Arial"/>
                <w:color w:val="636364"/>
                <w:sz w:val="15"/>
                <w:szCs w:val="15"/>
              </w:rPr>
              <w:t xml:space="preserve">ях/кпиона </w:t>
            </w:r>
            <w:r>
              <w:rPr>
                <w:rStyle w:val="CharStyle23"/>
                <w:rFonts w:ascii="Arial" w:eastAsia="Arial" w:hAnsi="Arial" w:cs="Arial"/>
                <w:color w:val="464647"/>
                <w:sz w:val="15"/>
                <w:szCs w:val="15"/>
              </w:rPr>
              <w:t>?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Описание объекта закупки не ограничивает конкуренцию для участников электронного аукциона. Согласно сравнительной таблице, предоставленной заказчиком видно, что описание объекта закупки полностью соответствует письму ФАС России от от </w:t>
      </w:r>
      <w:r>
        <w:rPr>
          <w:rStyle w:val="CharStyle17"/>
          <w:lang w:val="en-US" w:eastAsia="en-US"/>
        </w:rPr>
        <w:t xml:space="preserve">21 </w:t>
      </w:r>
      <w:r>
        <w:rPr>
          <w:rStyle w:val="CharStyle17"/>
        </w:rPr>
        <w:t xml:space="preserve">марта </w:t>
      </w:r>
      <w:r>
        <w:rPr>
          <w:rStyle w:val="CharStyle17"/>
          <w:lang w:val="en-US" w:eastAsia="en-US"/>
        </w:rPr>
        <w:t xml:space="preserve">2025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>№ 28/26176/25.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Согласно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Правила использования каталога товаров, работ, услуг для обеспечения государственных и муниципальных нужд (утв. Постановлением Правительства РФ от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февраля </w:t>
      </w:r>
      <w:r>
        <w:rPr>
          <w:rStyle w:val="CharStyle17"/>
          <w:lang w:val="en-US" w:eastAsia="en-US"/>
        </w:rPr>
        <w:t xml:space="preserve">2017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N 145) </w:t>
      </w:r>
      <w:r>
        <w:rPr>
          <w:rStyle w:val="CharStyle17"/>
        </w:rPr>
        <w:t xml:space="preserve">Заказчики обязаны применять информацию, включенную в позицию каталога в соответствии с подпунктами "а" -"г" и "е"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"з" пункта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февраля </w:t>
      </w:r>
      <w:r>
        <w:rPr>
          <w:rStyle w:val="CharStyle17"/>
          <w:lang w:val="en-US" w:eastAsia="en-US"/>
        </w:rPr>
        <w:t xml:space="preserve">2017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N 145 </w:t>
      </w:r>
      <w:r>
        <w:rPr>
          <w:rStyle w:val="CharStyle17"/>
        </w:rPr>
        <w:t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наименование товара, работы, услуги;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описание товара, работы, услуги (при наличии такого описания в позиции).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В описание объекта закупки Заказчика, приведены функциональные, технические и качественные характеристики товара, работы, услуги, эксплуатационные характеристики товара, результата работ, услуг (при необходимости), используемые для определения соответствия потребностям заказчика или эквивалентности предлагаемого к поставке или к использованию при выполнении работ, оказании услуг товара максимальные и (или) минимальные значения показателей товара и показатели, значения которых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Все указанные функциональные характеристики установлены в соответствии с потребностями Заказчика и необходимы для целей осуществления образовательного процесса в общеобразовательных учреждениях.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Таким образом, изучив содержание всех представленных пояснений, документов и иной информации, комиссией Башкортостанского УФАС России, в действиях Заказчика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Жалоба признается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На основании вышеизложенного и руководствуясь ст.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Федерального закона от 05.04.2013г.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 «О контрактной системе в сфере закупок товаров, работ,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17"/>
        </w:rPr>
        <w:t>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left"/>
      </w:pPr>
      <w:r>
        <w:rPr>
          <w:rStyle w:val="CharStyle17"/>
        </w:rPr>
        <w:t>Признать жалобу ООО «СТРОЙМОСТ» необоснованной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7"/>
        </w:rPr>
        <w:t>Решение может быть обжаловано в течение трех месяцев со дня его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7"/>
        </w:rPr>
        <w:t>принятия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795655" distL="114300" distR="114300" simplePos="0" relativeHeight="125829379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margin">
                  <wp:posOffset>2226310</wp:posOffset>
                </wp:positionV>
                <wp:extent cx="1859280" cy="60325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603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649999999999999pt;margin-top:175.30000000000001pt;width:146.40000000000001pt;height:47.5pt;z-index:-125829374;mso-wrap-distance-left:9.pt;mso-wrap-distance-right:9.pt;mso-wrap-distance-bottom:62.6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Члены комиссии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9350" distB="0" distL="151130" distR="543560" simplePos="0" relativeHeight="125829381" behindDoc="0" locked="0" layoutInCell="1" allowOverlap="1">
                <wp:simplePos x="0" y="0"/>
                <wp:positionH relativeFrom="page">
                  <wp:posOffset>743585</wp:posOffset>
                </wp:positionH>
                <wp:positionV relativeFrom="margin">
                  <wp:posOffset>3375660</wp:posOffset>
                </wp:positionV>
                <wp:extent cx="1393190" cy="250190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Начальник 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550000000000004pt;margin-top:265.80000000000001pt;width:109.7pt;height:19.699999999999999pt;z-index:-125829372;mso-wrap-distance-left:11.9pt;mso-wrap-distance-top:90.5pt;mso-wrap-distance-right:42.8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Начальник отдела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CharStyle17"/>
        </w:rPr>
        <w:t>Арсланов А.А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rStyle w:val="CharStyle17"/>
        </w:rPr>
        <w:t>Исламов И.Т.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w:rPr>
          <w:rStyle w:val="CharStyle17"/>
        </w:rPr>
        <w:t>Шакиров Д.Р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drawing>
          <wp:anchor distT="558800" distB="0" distL="114300" distR="2107565" simplePos="0" relativeHeight="125829383" behindDoc="0" locked="0" layoutInCell="1" allowOverlap="1">
            <wp:simplePos x="0" y="0"/>
            <wp:positionH relativeFrom="page">
              <wp:posOffset>2535555</wp:posOffset>
            </wp:positionH>
            <wp:positionV relativeFrom="margin">
              <wp:posOffset>4250055</wp:posOffset>
            </wp:positionV>
            <wp:extent cx="389890" cy="59118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3047365</wp:posOffset>
                </wp:positionH>
                <wp:positionV relativeFrom="margin">
                  <wp:posOffset>4698365</wp:posOffset>
                </wp:positionV>
                <wp:extent cx="1426210" cy="10985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9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39.95000000000002pt;margin-top:369.94999999999999pt;width:112.3pt;height:8.6500000000000004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9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2999105</wp:posOffset>
                </wp:positionH>
                <wp:positionV relativeFrom="margin">
                  <wp:posOffset>4347845</wp:posOffset>
                </wp:positionV>
                <wp:extent cx="1917065" cy="28321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36.15000000000001pt;margin-top:342.35000000000002pt;width:150.95000000000002pt;height:22.30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CharStyle17"/>
        </w:rPr>
        <w:t>А.А. Арсланов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Арсланов Анвар Аслямович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>Сертификат № 43А147Е3721ААСВА71</w:t>
      </w:r>
      <w:r>
        <w:rPr>
          <w:rStyle w:val="CharStyle34"/>
          <w:lang w:val="en-US" w:eastAsia="en-US"/>
        </w:rPr>
        <w:t>B8F97D3893AF69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rStyle w:val="CharStyle34"/>
        </w:rPr>
        <w:t xml:space="preserve">Действителен с </w:t>
      </w:r>
      <w:r>
        <w:rPr>
          <w:rStyle w:val="CharStyle34"/>
          <w:color w:val="464647"/>
        </w:rPr>
        <w:t xml:space="preserve">26.12.2025 по </w:t>
      </w:r>
      <w:r>
        <w:rPr>
          <w:rStyle w:val="CharStyle34"/>
        </w:rPr>
        <w:t>21.03.2027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Исп.Исламов И.Т.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39" w:right="541" w:bottom="1353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10063480</wp:posOffset>
              </wp:positionV>
              <wp:extent cx="66167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2026-5534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5pt;margin-top:792.39999999999998pt;width:52.1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2026-5534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2026-5534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95000000000005pt;width:52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2026-5534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%1"/>
    </w:lvl>
    <w:lvl w:ilvl="1">
      <w:start w:val="7"/>
      <w:numFmt w:val="decimal"/>
      <w:lvlText w:val="%1.%2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64647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3"/>
      <w:numFmt w:val="decimal"/>
      <w:lvlText w:val="%1"/>
    </w:lvl>
    <w:lvl w:ilvl="1">
      <w:start w:val="5"/>
      <w:numFmt w:val="decimal"/>
      <w:lvlText w:val="%1.%2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64647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4">
    <w:name w:val="Body text (3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2D2D2D"/>
      <w:sz w:val="14"/>
      <w:szCs w:val="14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3">
    <w:name w:val="Body text (3)"/>
    <w:basedOn w:val="Normal"/>
    <w:link w:val="CharStyle34"/>
    <w:pPr>
      <w:widowControl w:val="0"/>
      <w:shd w:val="clear" w:color="auto" w:fill="auto"/>
      <w:spacing w:after="9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D2D2D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