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5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УПРАВЛЕНИЕ</w:t>
        <w:br/>
        <w:t>Федеральной антимонопольной службы</w:t>
        <w:br/>
        <w:t>по Красноярскому краю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40"/>
        <w:ind w:left="0" w:right="0" w:firstLine="0"/>
        <w:jc w:val="center"/>
      </w:pPr>
      <w:r>
        <w:rPr>
          <w:rStyle w:val="CharStyle6"/>
        </w:rPr>
        <w:t>пр. Мира, 81 д, г. Красноярск, 660017</w:t>
        <w:br/>
        <w:t>тел. (391) 211-00-00, факс (391) 211-01-14</w:t>
        <w:br/>
      </w: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"mailto:to24@fas.gov.ru" </w:instrText>
      </w:r>
      <w:r>
        <w:fldChar w:fldCharType="separate"/>
      </w:r>
      <w:r>
        <w:rPr>
          <w:rStyle w:val="CharStyle6"/>
          <w:lang w:val="en-US" w:eastAsia="en-US"/>
        </w:rPr>
        <w:t>to24@fas.gov.ru</w:t>
      </w:r>
      <w:r>
        <w:fldChar w:fldCharType="end"/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1766" w:val="left"/>
          <w:tab w:leader="underscore" w:pos="3926" w:val="left"/>
        </w:tabs>
        <w:bidi w:val="0"/>
        <w:spacing w:before="0" w:after="240" w:line="264" w:lineRule="auto"/>
        <w:ind w:left="0" w:right="0" w:firstLine="0"/>
        <w:jc w:val="both"/>
      </w:pPr>
      <w:r>
        <w:rPr>
          <w:rStyle w:val="CharStyle9"/>
          <w:color w:val="4460A1"/>
        </w:rPr>
        <w:tab/>
        <w:t xml:space="preserve"> №</w:t>
        <w:tab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12"/>
        </w:rPr>
        <w:t xml:space="preserve">На 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18288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ИП Капцова Ольга Александровна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пр-кт Энгельса, д. 139/21, литера А, кв. 289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г. Санкт-Петербург, 194356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</w:pPr>
      <w:r>
        <w:fldChar w:fldCharType="begin"/>
      </w:r>
      <w:r>
        <w:rPr/>
        <w:instrText> HYPERLINK "mailto:SINITSINAOLGA@YANDEX.RU" </w:instrText>
      </w:r>
      <w:r>
        <w:fldChar w:fldCharType="separate"/>
      </w:r>
      <w:r>
        <w:rPr>
          <w:rStyle w:val="CharStyle14"/>
          <w:lang w:val="en-US" w:eastAsia="en-US"/>
        </w:rPr>
        <w:t>SINITSINAOLGA@YANDEX.RU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КГКУ «Противопожарная охрана Красноярского края»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ул. Тамбовская, д. 11, г. Красноярск,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Красноярский край, 660013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</w:pPr>
      <w:r>
        <w:fldChar w:fldCharType="begin"/>
      </w:r>
      <w:r>
        <w:rPr/>
        <w:instrText> HYPERLINK "mailto:kgku.priem@yandex.ru" </w:instrText>
      </w:r>
      <w:r>
        <w:fldChar w:fldCharType="separate"/>
      </w:r>
      <w:r>
        <w:rPr>
          <w:rStyle w:val="CharStyle14"/>
          <w:lang w:val="en-US" w:eastAsia="en-US"/>
        </w:rPr>
        <w:t>kgku.priem@yandex.ru</w:t>
      </w:r>
      <w:r>
        <w:fldChar w:fldCharType="end"/>
      </w:r>
      <w:r>
        <w:rPr>
          <w:rStyle w:val="CharStyle14"/>
          <w:lang w:val="en-US" w:eastAsia="en-US"/>
        </w:rPr>
        <w:t xml:space="preserve">, </w:t>
      </w:r>
      <w:r>
        <w:fldChar w:fldCharType="begin"/>
      </w:r>
      <w:r>
        <w:rPr/>
        <w:instrText> HYPERLINK "mailto:priem@kgkuppo.ru" </w:instrText>
      </w:r>
      <w:r>
        <w:fldChar w:fldCharType="separate"/>
      </w:r>
      <w:r>
        <w:rPr>
          <w:rStyle w:val="CharStyle14"/>
          <w:lang w:val="en-US" w:eastAsia="en-US"/>
        </w:rPr>
        <w:t>priem@kgkuppo.ru</w:t>
      </w:r>
      <w:r>
        <w:fldChar w:fldCharType="end"/>
      </w:r>
      <w:r>
        <w:rPr>
          <w:rStyle w:val="CharStyle14"/>
          <w:lang w:val="en-US" w:eastAsia="en-US"/>
        </w:rPr>
        <w:t xml:space="preserve">, </w:t>
      </w:r>
      <w:r>
        <w:fldChar w:fldCharType="begin"/>
      </w:r>
      <w:r>
        <w:rPr/>
        <w:instrText> HYPERLINK "mailto:ppo.torgi@mail.ru" </w:instrText>
      </w:r>
      <w:r>
        <w:fldChar w:fldCharType="separate"/>
      </w:r>
      <w:r>
        <w:rPr>
          <w:rStyle w:val="CharStyle14"/>
          <w:lang w:val="en-US" w:eastAsia="en-US"/>
        </w:rPr>
        <w:t>ppo.torgi@mail.ru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Агентство государственного заказа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Красноярского края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пр-кт Мира, д. 10, оф. 53, г. Красноярск, Красноярский край, 660049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</w:pPr>
      <w:r>
        <w:fldChar w:fldCharType="begin"/>
      </w:r>
      <w:r>
        <w:rPr/>
        <w:instrText> HYPERLINK "mailto:agz_priem@mail.ru" </w:instrText>
      </w:r>
      <w:r>
        <w:fldChar w:fldCharType="separate"/>
      </w:r>
      <w:r>
        <w:rPr>
          <w:rStyle w:val="CharStyle14"/>
          <w:lang w:val="en-US" w:eastAsia="en-US"/>
        </w:rPr>
        <w:t>agz_priem@mail.ru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79" w:right="954" w:bottom="1212" w:left="1135" w:header="0" w:footer="3" w:gutter="0"/>
          <w:pgNumType w:start="1"/>
          <w:cols w:num="2" w:space="720" w:equalWidth="0">
            <w:col w:w="4099" w:space="1166"/>
            <w:col w:w="4546"/>
          </w:cols>
          <w:noEndnote/>
          <w:titlePg/>
          <w:rtlGutter w:val="0"/>
          <w:docGrid w:linePitch="360"/>
        </w:sectPr>
      </w:pPr>
      <w:r>
        <w:rPr>
          <w:rStyle w:val="CharStyle14"/>
        </w:rPr>
        <w:t xml:space="preserve">ООО «ЭТП Газпромбанк» </w:t>
      </w:r>
      <w:r>
        <w:fldChar w:fldCharType="begin"/>
      </w:r>
      <w:r>
        <w:rPr/>
        <w:instrText> HYPERLINK "mailto:info@etpgpb.ru" </w:instrText>
      </w:r>
      <w:r>
        <w:fldChar w:fldCharType="separate"/>
      </w:r>
      <w:r>
        <w:rPr>
          <w:rStyle w:val="CharStyle14"/>
          <w:lang w:val="en-US" w:eastAsia="en-US"/>
        </w:rPr>
        <w:t>info@etpgpb.ru</w:t>
      </w:r>
      <w:r>
        <w:fldChar w:fldCharType="end"/>
      </w:r>
    </w:p>
    <w:p>
      <w:pPr>
        <w:widowControl w:val="0"/>
        <w:spacing w:line="178" w:lineRule="exact"/>
        <w:rPr>
          <w:sz w:val="14"/>
          <w:szCs w:val="1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0" w:bottom="121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4"/>
        </w:rPr>
        <w:t>Решение № 024/06/105-1469/2026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6283325</wp:posOffset>
                </wp:positionH>
                <wp:positionV relativeFrom="paragraph">
                  <wp:posOffset>12700</wp:posOffset>
                </wp:positionV>
                <wp:extent cx="908050" cy="21971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805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г. Красноярск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94.75pt;margin-top:1.pt;width:71.5pt;height:17.30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</w:rPr>
                        <w:t>г. Красноярск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4"/>
        </w:rPr>
        <w:t>12 мая 2026 года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4"/>
        </w:rPr>
        <w:t>Комиссия Красноярского УФАС России по контролю в сфере закупок в составе: Председатель Комиссии – Е.О. Хорышев, врио заместителя руководителя; члены Комиссии: К.С Варава, заместитель начальника отдела; Д.Н. Пелевина, ведущий специалист-эксперт (далее – Комиссия), рассмотрев жалобу ИП Капцовой Ольги Александровны (далее – Податель жалобы) на действия заказчика — КГКУ «Противопожарная охрана Красноярского края» (далее – Заказчик) уполномоченного органа — Агентства государственного заказа Красноярского края при проведении электронного аукциона ЭА-№-6724/26 «Оказание услуг по разработке программного обеспечения для компьютерного имитационного тренажера – симулятора действий при пожаре для школьников» (далее — электронный аукцион), извещение № 0119200000126007408 ИКЗ 262246613628024620100100550016201244 на электронной торговой площадке ООО «ЭТП Газпромбанк» (далее – Оператор электронной площадки), установила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4"/>
        </w:rPr>
        <w:t>Существо жалобы: неправомерные действия Заказчика при формировании извещения о проведении электронного аукциона, нарушающие требования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4"/>
        </w:rPr>
        <w:t>Жалоба подана в Красноярское УФАС России в срок, установленный частью 2 статьи 105 Закона о контрактной системе, соответствовала требованиям статьи 105 указанного закона, в связи с чем подлежала принятию к рассмотрению.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980" w:line="240" w:lineRule="auto"/>
        <w:ind w:left="0" w:right="0" w:firstLine="600"/>
        <w:jc w:val="both"/>
      </w:pPr>
      <w:r>
        <w:rPr>
          <w:rStyle w:val="CharStyle14"/>
        </w:rPr>
        <w:t>В адреса Подателя жалобы, Заказчика, Уполномоченного органа и Оператора электронной площадки было направлено уведомление о содержании жалобы с информацией о месте и времени заседания Комиссии.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rStyle w:val="CharStyle16"/>
        </w:rPr>
        <w:t>IIIIIIIIIIIIIIIIIIIIIIII</w:t>
      </w:r>
      <w:bookmarkEnd w:id="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4"/>
        </w:rPr>
        <w:t>Заказчику, Уполномоченному органу и Оператору электронной площадки было предложено предоставить в адрес Красноярского УФАС России документы и сведения, необходимые для рассмотрения жалобы по существу.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4"/>
        </w:rPr>
        <w:t>Перед началом заседания в адрес Комиссии поступило ходатайство от Заказчика о рассмотрении жалобы в его отсутствие. Ходатайство рассмотрено и удовлетворено Комиссией.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4"/>
        </w:rPr>
        <w:t xml:space="preserve">Заседание Комиссии по рассмотрению жалобы по существу состоялось </w:t>
      </w:r>
      <w:r>
        <w:rPr>
          <w:rStyle w:val="CharStyle14"/>
          <w:lang w:val="en-US" w:eastAsia="en-US"/>
        </w:rPr>
        <w:t xml:space="preserve">12.05.2026 </w:t>
      </w:r>
      <w:r>
        <w:rPr>
          <w:rStyle w:val="CharStyle14"/>
        </w:rPr>
        <w:t xml:space="preserve">в </w:t>
      </w:r>
      <w:r>
        <w:rPr>
          <w:rStyle w:val="CharStyle14"/>
          <w:lang w:val="en-US" w:eastAsia="en-US"/>
        </w:rPr>
        <w:t xml:space="preserve">13 </w:t>
      </w:r>
      <w:r>
        <w:rPr>
          <w:rStyle w:val="CharStyle14"/>
        </w:rPr>
        <w:t xml:space="preserve">часов </w:t>
      </w:r>
      <w:r>
        <w:rPr>
          <w:rStyle w:val="CharStyle14"/>
          <w:lang w:val="en-US" w:eastAsia="en-US"/>
        </w:rPr>
        <w:t xml:space="preserve">30 </w:t>
      </w:r>
      <w:r>
        <w:rPr>
          <w:rStyle w:val="CharStyle14"/>
        </w:rPr>
        <w:t>минут (время местное) в присутствии представителя Уполномоченного органа, надлежащим образом подтвердившего свою личность и полномочия.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4"/>
        </w:rPr>
        <w:t>Податель жалобы участие в рассмотрении жалобы своих представителей не обеспечил, будучи надлежащим образом уведомленном о дате и времени рассмотрения.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4"/>
        </w:rPr>
        <w:t>Из доводов, изложенных в жалобе, следует, что Заказчик при составлении описания объекта закупки допустил нарушения требований, установленных Законом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4"/>
        </w:rPr>
        <w:t xml:space="preserve">Рассмотрев существо жалобы, документы и сведения, представленные сторонами и размещенные на официальном сайте единой информационной системы в сфере закупок в информационно-телекоммуникационной сети Интернет 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>ЕИС), проведя внеплановую проверку определения поставщика (подрядчика, исполнителя) на предмет соответствия требованиям законодательства Российской Федерации о контрактной системе в сфере закупок товаров, работ, услуг для государственных и муниципальных нужд, Комиссия установила следующие обстоятельства.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4"/>
        </w:rPr>
        <w:t>Согласно положениям статьи 105 Закона о контрактной системе основанием для удовлетворения жалобы служит установление факта нарушения обжалуемыми действиями прав и законных интересов Подателя жалобы.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4"/>
        </w:rPr>
        <w:t>Комиссия приняла во внимание факт того, что закупка отменена в установленный законом срок и пришла к выводу об отсутствии в рамках жалобы предмета рассмотрения.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4"/>
        </w:rPr>
        <w:t>В рассматриваемом случае обжалуемые действия субъекта контроля фактически не нарушают и объективно не могут нарушить права и законные интересы Подателя жалобы.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600"/>
        <w:jc w:val="both"/>
      </w:pPr>
      <w:r>
        <w:rPr>
          <w:rStyle w:val="CharStyle14"/>
        </w:rPr>
        <w:t>На основании вышеизложенных обстоятельств, в результате рассмотрения жалобы по существу и проведения внеплановой проверки, руководствуясь частями 3, 15 статьи 99, частью 8 статьи 106 Закона о контрактной системе Комиссия Красноярского УФАС России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rStyle w:val="CharStyle14"/>
        </w:rPr>
        <w:t>РЕШИЛА: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4"/>
        </w:rPr>
        <w:t>Признать жалобу ИП Капцовой Ольги Александровны необоснованной.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600"/>
        <w:jc w:val="both"/>
      </w:pPr>
      <w:r>
        <w:rPr>
          <w:rStyle w:val="CharStyle14"/>
        </w:rPr>
        <w:t>Настоящее решение может быть обжаловано в Арбитражный суд Красноярского края в течение трех месяцев со дня его принятия.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741" w:val="left"/>
        </w:tabs>
        <w:bidi w:val="0"/>
        <w:spacing w:before="0" w:after="440" w:line="240" w:lineRule="auto"/>
        <w:ind w:left="0" w:right="0" w:firstLine="0"/>
        <w:jc w:val="both"/>
      </w:pPr>
      <w:r>
        <w:rPr>
          <w:rStyle w:val="CharStyle14"/>
        </w:rPr>
        <w:t>Председатель Комиссии</w:t>
        <w:tab/>
        <w:t>Е.О. Хорышев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986" w:val="left"/>
        </w:tabs>
        <w:bidi w:val="0"/>
        <w:spacing w:before="0" w:after="340" w:line="240" w:lineRule="auto"/>
        <w:ind w:left="0" w:right="0" w:firstLine="0"/>
        <w:jc w:val="both"/>
      </w:pPr>
      <w:r>
        <w:rPr>
          <w:rStyle w:val="CharStyle14"/>
        </w:rPr>
        <w:t>Члены Комиссии</w:t>
        <w:tab/>
        <w:t>К.С. Варава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980" w:line="240" w:lineRule="auto"/>
        <w:ind w:left="0" w:right="0" w:firstLine="0"/>
        <w:jc w:val="right"/>
      </w:pPr>
      <w:r>
        <w:rPr>
          <w:rStyle w:val="CharStyle14"/>
        </w:rPr>
        <w:t>Д.Н. Пелевина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Style w:val="CharStyle9"/>
        </w:rPr>
        <w:t>Исп.Пелевина Д.Н. тел. (391) 211-01-44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279" w:right="512" w:bottom="1212" w:left="108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714375</wp:posOffset>
              </wp:positionH>
              <wp:positionV relativeFrom="page">
                <wp:posOffset>10016490</wp:posOffset>
              </wp:positionV>
              <wp:extent cx="658495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2026-7150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6.25pt;margin-top:788.70000000000005pt;width:51.850000000000001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2026-7150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58495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2026-7150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6.20000000000005pt;width:51.850000000000001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2026-7150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Body text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6"/>
      <w:szCs w:val="16"/>
      <w:u w:val="none"/>
    </w:rPr>
  </w:style>
  <w:style w:type="character" w:customStyle="1" w:styleId="CharStyle9">
    <w:name w:val="Body text (3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12">
    <w:name w:val="Picture caption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8"/>
      <w:szCs w:val="18"/>
      <w:u w:val="none"/>
    </w:rPr>
  </w:style>
  <w:style w:type="character" w:customStyle="1" w:styleId="CharStyle14">
    <w:name w:val="Body text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6">
    <w:name w:val="Heading #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Body text (2)"/>
    <w:basedOn w:val="Normal"/>
    <w:link w:val="CharStyle6"/>
    <w:pPr>
      <w:widowControl w:val="0"/>
      <w:shd w:val="clear" w:color="auto" w:fill="auto"/>
      <w:spacing w:after="16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6"/>
      <w:szCs w:val="16"/>
      <w:u w:val="none"/>
    </w:rPr>
  </w:style>
  <w:style w:type="paragraph" w:customStyle="1" w:styleId="Style8">
    <w:name w:val="Body text (3)"/>
    <w:basedOn w:val="Normal"/>
    <w:link w:val="CharStyle9"/>
    <w:pPr>
      <w:widowControl w:val="0"/>
      <w:shd w:val="clear" w:color="auto" w:fill="auto"/>
      <w:spacing w:after="340" w:line="252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11">
    <w:name w:val="Picture caption"/>
    <w:basedOn w:val="Normal"/>
    <w:link w:val="CharStyle12"/>
    <w:pPr>
      <w:widowControl w:val="0"/>
      <w:shd w:val="clear" w:color="auto" w:fill="auto"/>
      <w:spacing w:line="26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8"/>
      <w:szCs w:val="18"/>
      <w:u w:val="none"/>
    </w:rPr>
  </w:style>
  <w:style w:type="paragraph" w:styleId="Style13">
    <w:name w:val="Body text"/>
    <w:basedOn w:val="Normal"/>
    <w:link w:val="CharStyle14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5">
    <w:name w:val="Heading #1"/>
    <w:basedOn w:val="Normal"/>
    <w:link w:val="CharStyle16"/>
    <w:pPr>
      <w:widowControl w:val="0"/>
      <w:shd w:val="clear" w:color="auto" w:fill="auto"/>
      <w:spacing w:after="62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