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649999999999999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40" w:right="0" w:firstLine="0"/>
        <w:jc w:val="both"/>
      </w:pPr>
      <w:r>
        <w:rPr>
          <w:rStyle w:val="CharStyle7"/>
        </w:rPr>
        <w:t xml:space="preserve">Департамент ГОЧСИПБ </w:t>
      </w:r>
      <w:r>
        <w:fldChar w:fldCharType="begin"/>
      </w:r>
      <w:r>
        <w:rPr/>
        <w:instrText> HYPERLINK "mailto:emercom@mos.ru" </w:instrText>
      </w:r>
      <w:r>
        <w:fldChar w:fldCharType="separate"/>
      </w:r>
      <w:r>
        <w:rPr>
          <w:rStyle w:val="CharStyle7"/>
          <w:lang w:val="en-US" w:eastAsia="en-US"/>
        </w:rPr>
        <w:t>emercom@mos.ru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40" w:right="0" w:firstLine="0"/>
        <w:jc w:val="both"/>
      </w:pPr>
      <w:r>
        <w:rPr>
          <w:rStyle w:val="CharStyle7"/>
        </w:rPr>
        <w:t>ГБУ «ПТЦ ПАСТ»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40" w:right="0" w:firstLine="0"/>
        <w:jc w:val="both"/>
      </w:pPr>
      <w:r>
        <w:fldChar w:fldCharType="begin"/>
      </w:r>
      <w:r>
        <w:rPr/>
        <w:instrText> HYPERLINK "mailto:SutorminaSG@bez.mos.ru" </w:instrText>
      </w:r>
      <w:r>
        <w:fldChar w:fldCharType="separate"/>
      </w:r>
      <w:r>
        <w:rPr>
          <w:rStyle w:val="CharStyle7"/>
          <w:lang w:val="en-US" w:eastAsia="en-US"/>
        </w:rPr>
        <w:t>SutorminaSG@bez.mos.ru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480" w:lineRule="auto"/>
        <w:ind w:left="1040" w:right="0" w:firstLine="0"/>
        <w:jc w:val="both"/>
      </w:pPr>
      <w:r>
        <w:rPr>
          <w:rStyle w:val="CharStyle7"/>
        </w:rPr>
        <w:t xml:space="preserve">ООО «Система» </w:t>
      </w:r>
      <w:r>
        <w:fldChar w:fldCharType="begin"/>
      </w:r>
      <w:r>
        <w:rPr/>
        <w:instrText> HYPERLINK "mailto:s24tender@yandex.ru" </w:instrText>
      </w:r>
      <w:r>
        <w:fldChar w:fldCharType="separate"/>
      </w:r>
      <w:r>
        <w:rPr>
          <w:rStyle w:val="CharStyle7"/>
          <w:lang w:val="en-US" w:eastAsia="en-US"/>
        </w:rPr>
        <w:t>s24tender@yandex.ru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52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52" w:lineRule="auto"/>
        <w:ind w:left="0" w:right="0" w:firstLine="0"/>
        <w:jc w:val="center"/>
      </w:pPr>
      <w:r>
        <w:rPr>
          <w:rStyle w:val="CharStyle7"/>
          <w:b/>
          <w:bCs/>
        </w:rPr>
        <w:t>по делу №077/06/105-5885/2026 о нарушении</w:t>
        <w:br/>
        <w:t>законодательства о контрактной системе</w:t>
        <w:br/>
        <w:t>12.05.2026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Председательствующего: и.о. начальника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при участии представителей: ООО «Система», ГБУ «ПТЦ ПАСТ», Департамент ГОЧСИПБ,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52" w:lineRule="auto"/>
        <w:ind w:left="0" w:right="0" w:firstLine="720"/>
        <w:jc w:val="both"/>
      </w:pPr>
      <w:r>
        <w:drawing>
          <wp:anchor distT="127000" distB="0" distL="114300" distR="114300" simplePos="0" relativeHeight="125829381" behindDoc="0" locked="0" layoutInCell="1" allowOverlap="1">
            <wp:simplePos x="0" y="0"/>
            <wp:positionH relativeFrom="page">
              <wp:posOffset>716280</wp:posOffset>
            </wp:positionH>
            <wp:positionV relativeFrom="margin">
              <wp:posOffset>9104630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>рассмотрев жалобу ООО «Система» (далее — Заявитель) на действия ГБУ «ПТЦ ПАСТ» (далее - Заказчик) при проведении электронного аукциона на право заключения государственного контракта на поставку запасных частей для ремонта легковых автомобилей (Закупка №0173200002626000098) (далее –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составе жалобы Заявитель указывает, что в информационной карте извещения Заказчиком неправомерно установлено избыточное условие к независимой гарантии, представляемой в качестве обеспечения исполнения контракта, в частности установлено требование о необходимости включения в независимую гарантию условия об обязательстве возместить убытки, понесенные Заказчиком в связи с неисполнением или ненадлежащим исполнением поставщиком (подрядчиком, исполнителем) своих обязательств по Контракту.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ч.3 ст.96 Закона о контрактной системе исполнение контракта, гарантийные обязательства могут обеспечиваться предоставлением независимой гарантии, соответствующей требованиям ст.45 Закона о 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Закона о контрактной системе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ст.95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П.17 ч.1 ст.42 Закона о контрактной системе извещение об осуществлении закупки должно содержать 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ст.96 Закона о контрактной системе).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п.1 ч.1 ст.45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ч.1.2 ст.45 Закона о контрактной системы.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ч.2 ст.45 Закона о контрактной системе независимая гарантия должна быть безотзывной и должна содержать: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сумму независимой гарантии, подлежащую уплате гарантом заказчику в установленных ст.44 Закона о контрактной системе случаях для предъявления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требования об уплате денежной суммы по независимой гарантии, предоставленной для обеспечения заявки на участие в закупке, или сумму независимой гарантии, подлежащую уплате гарантом заказчику в случае ненадлежащего исполнения обязательств принципалом в соответствии со ст.96 Закона о контрактной системе, а также идентификационный код закупки, при осуществлении которой предоставляется такая независимая гарантия;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обязательства принципала, надлежащее исполнение которых обеспечивается независимой гарантией;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обязанность гаранта в случае просрочки исполнения обязательств по независимой гарантии,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действия, за каждый день просрочки уплатить заказчику неустойку в размере </w:t>
      </w:r>
      <w:r>
        <w:rPr>
          <w:rStyle w:val="CharStyle7"/>
          <w:lang w:val="en-US" w:eastAsia="en-US"/>
        </w:rPr>
        <w:t xml:space="preserve">0,1 </w:t>
      </w:r>
      <w:r>
        <w:rPr>
          <w:rStyle w:val="CharStyle7"/>
        </w:rPr>
        <w:t>процента денежной суммы, подлежащей уплате по такой независимой гарантии;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условие, согласно которому исполнением обязательств гаранта по независимой гарантии является фактическое поступление денежных сумм на счет, на котором в соответствии с законодательством Российской Федерации учитываются операции со средствами, поступающими заказчику;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срок действия независимой гарантии с учетом требований ст.44 и </w:t>
      </w:r>
      <w:r>
        <w:rPr>
          <w:rStyle w:val="CharStyle7"/>
          <w:lang w:val="en-US" w:eastAsia="en-US"/>
        </w:rPr>
        <w:t xml:space="preserve">96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отлагательное условие, предусматривающее заключение договора предоставления независимой гарантии по обязательствам принципала, возникшим из контракта при его заключении, в случае предоставления независимой гарантии в качестве обеспечения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установленный Правительством Российской Федерации перечень документов, предоставляемых заказчиком гаранту одновременно с требованием об осуществлении уплаты денежной суммы по независимой гарантии.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ч.5 ст.45 Закона о контрактной системе заказчик рассматривает поступившую независимую гарантию в срок, не превышающий трех рабочих дней со дня ее поступления, если Законом о контрактной системе не установлено иное.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ч.8.2 ст.45 Закона о контрактной системе, дополнительные требования к независимой гарантии, используемой для целей Закона о контрактной системе, порядок ведения и размещения в единой информационной системе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предоставления выписок из него, типовая форма независимой гарантии, используемой для целей Закона о контрактной системе, форма требования об уплате денежной суммы по независимой гарантии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соответствии с п.1 Постановления </w:t>
      </w:r>
      <w:r>
        <w:rPr>
          <w:rStyle w:val="CharStyle7"/>
          <w:lang w:val="en-US" w:eastAsia="en-US"/>
        </w:rPr>
        <w:t xml:space="preserve">№ 1005 </w:t>
      </w:r>
      <w:r>
        <w:rPr>
          <w:rStyle w:val="CharStyle7"/>
        </w:rPr>
        <w:t>утверждены: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дополнительные требования к независимой гарантии, используемой для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целей Закона о контрактной системы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Дополнительные требования);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перечень документов, представляемых заказчиком гаранту одновременно с требованием об осуществлении уплаты денежной суммы по независимой гарантии, правила ведения и размещения в ЕИС реестра независимых гарантий;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форма требования об осуществлении уплаты денежной суммы по независимой гарантии;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правила формирования и ведения закрытого реестра независимых гарантий;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типовая форма независимой гарантии, предоставляемой в качестве обеспечения исполнения контракта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Типовая форма).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 этом Типовой формой предусмотрены следующие положений: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 xml:space="preserve">«1. </w:t>
      </w:r>
      <w:r>
        <w:rPr>
          <w:rStyle w:val="CharStyle7"/>
        </w:rPr>
        <w:t>Настоящая независимая гарантия обеспечивает исполнение принципалом его обязательств, предусмотренных контрактом, заключенным с бенефициаром, включающих в том числе обязательства принципала по уплате неустоек (штрафов, пеней)»;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 xml:space="preserve">«2. </w:t>
      </w:r>
      <w:r>
        <w:rPr>
          <w:rStyle w:val="CharStyle7"/>
        </w:rPr>
        <w:t>Настоящая независимая гарантия не может быть отозвана гарантом».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Управлении установлено, что в информационной карте извещения в том числе установлено следующее требование к независимой гарантии, представляемой в обеспечение исполнения контракта: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«Независимая гарантия должна быть безотзывной и должна содержать обязательства Гаранта выплатить Бенефициару сумму Гарантии или ее часть, а именно: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обязательство уплатить сумму неустойки (штрафа, пеней) предусмотренных контрактом;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обязательство возместить убытки, понесенные Заказчиком в связи с неисполнением или ненадлежащим исполнением поставщиком (подрядчиком, исполнителем) своих обязательств по Контракту;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обязательство уплатить сумму в размере авансового платежа (если выплата авансового платежа предусмотрена условиями контракта) при условии если бенефициаром предъявлено требование о возврате авансового платежа принципалу и оно им не выполнено».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оспариваемые требования не противоречат требованиям законодательства и являются правомерными, исходя из положений проекта контракта, размещенного в составе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Согласно п.5 ч.2 ст.42 Закона о контрактной системе извещение об осуществлении закупки, если иное не предусмотрено Законом о контрактной системе, должно содержать проект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проекте контракта в том числе указано следующее положение: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«7.15. </w:t>
      </w:r>
      <w:r>
        <w:rPr>
          <w:rStyle w:val="CharStyle7"/>
        </w:rPr>
        <w:t>В случае полного (частичного) неисполнения условий Контракта одной из Сторон эта Сторона обязана возместить другой Стороне причиненные убытки в части, не покрытой неустойкой».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«6 8. </w:t>
      </w:r>
      <w:r>
        <w:rPr>
          <w:rStyle w:val="CharStyle7"/>
        </w:rPr>
        <w:t>Убытки, причиненные Заказчику в связи с отзывом товара, подлежат возмещению Поставщиком в полном объеме, если иное не установлено действующим законодательством Российской Федерации»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«9.3 </w:t>
      </w:r>
      <w:r>
        <w:rPr>
          <w:rStyle w:val="CharStyle7"/>
        </w:rPr>
        <w:t>Внесенные Поставщиком в обеспечение исполнения обязательств Поставщика по Контракту денежные средства обеспечивают исполнение Поставщиком всех обязательств Поставщика по Контракту, в том числе обязательств, связанных с неисполнением либо ненадлежащим исполнением Контракта Поставщиком, включая обязательства по возмещению Заказчику убытков, по уплате Заказчику неустоек (штрафов, пеней), начисленных Заказчиком в связи с неисполнением либо ненадлежащим исполнением Поставщиком предусмотренных Контрактом обязательств».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оспариваемое требование соотносится с проектом контракта, размещенном в составе извещения и не противоречит положениям Закона о контрактной системе, так как возмещение убытков Заказчика является одним из обязательств исполнителя контракта, в обеспечение которых представляется независимая гарантия.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выводу, что данный довод жалобы не нашел своего основания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2. </w:t>
      </w:r>
      <w:r>
        <w:rPr>
          <w:rStyle w:val="CharStyle7"/>
        </w:rPr>
        <w:t>Также в составе жалобы Заявитель указывает, что разъяснения положений извещений об осуществлении закупки размещены Заказчиком в нарушение ч.5 ст.42 Закона о контрактной системе, так как не отвечают по существу запроса.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8" w:right="539" w:bottom="1268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>В силу ч.5 ст.42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</w:rPr>
        <w:t>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 xml:space="preserve">Комиссией Управления установлено, что, например, </w:t>
      </w:r>
      <w:r>
        <w:rPr>
          <w:rStyle w:val="CharStyle7"/>
          <w:lang w:val="en-US" w:eastAsia="en-US"/>
        </w:rPr>
        <w:t xml:space="preserve">29.04.2026 </w:t>
      </w:r>
      <w:r>
        <w:rPr>
          <w:rStyle w:val="CharStyle7"/>
        </w:rPr>
        <w:t>Заказчиком размещены разъяснения положений извещения об осуществлении закупки №РИ1 со следующим содержанием: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lang w:val="en-US" w:eastAsia="en-US"/>
        </w:rPr>
        <w:t>«</w:t>
      </w:r>
      <w:r>
        <w:rPr>
          <w:rStyle w:val="CharStyle7"/>
          <w:i/>
          <w:iCs/>
          <w:lang w:val="en-US" w:eastAsia="en-US"/>
        </w:rPr>
        <w:t xml:space="preserve">27.04.2026 </w:t>
      </w:r>
      <w:r>
        <w:rPr>
          <w:rStyle w:val="CharStyle7"/>
          <w:i/>
          <w:iCs/>
        </w:rPr>
        <w:t xml:space="preserve">Вы разместили извещение и документацию по закупке </w:t>
      </w:r>
      <w:r>
        <w:rPr>
          <w:rStyle w:val="CharStyle7"/>
          <w:i/>
          <w:iCs/>
          <w:lang w:val="en-US" w:eastAsia="en-US"/>
        </w:rPr>
        <w:t xml:space="preserve">№ 173200002626000098 </w:t>
      </w:r>
      <w:r>
        <w:rPr>
          <w:rStyle w:val="CharStyle7"/>
          <w:i/>
          <w:iCs/>
        </w:rPr>
        <w:t>Поставка запасных частей для ремонта легковых автомобилей: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</w:rPr>
        <w:t>Прошу дать разъяснение: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При подаче электронной заявки в разделе «Характеристика объекта закупки» указано всего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позиция. Наименование позиции: Комплектующая (запасная часть) для спецтехники. В документации вы разместили </w:t>
      </w:r>
      <w:r>
        <w:rPr>
          <w:rStyle w:val="CharStyle7"/>
          <w:i/>
          <w:iCs/>
          <w:lang w:val="en-US" w:eastAsia="en-US"/>
        </w:rPr>
        <w:t xml:space="preserve">6 </w:t>
      </w:r>
      <w:r>
        <w:rPr>
          <w:rStyle w:val="CharStyle7"/>
          <w:i/>
          <w:iCs/>
        </w:rPr>
        <w:t xml:space="preserve">файлов в формате ексель Расчет НМЦК (Спецификация) приложение </w:t>
      </w:r>
      <w:r>
        <w:rPr>
          <w:rStyle w:val="CharStyle7"/>
          <w:i/>
          <w:iCs/>
          <w:lang w:val="en-US" w:eastAsia="en-US"/>
        </w:rPr>
        <w:t xml:space="preserve">2, </w:t>
      </w:r>
      <w:r>
        <w:rPr>
          <w:rStyle w:val="CharStyle7"/>
          <w:i/>
          <w:iCs/>
        </w:rPr>
        <w:t xml:space="preserve">Расчет НМЦК (Спецификация) приложение </w:t>
      </w:r>
      <w:r>
        <w:rPr>
          <w:rStyle w:val="CharStyle7"/>
          <w:i/>
          <w:iCs/>
          <w:lang w:val="en-US" w:eastAsia="en-US"/>
        </w:rPr>
        <w:t xml:space="preserve">3-4, </w:t>
      </w:r>
      <w:r>
        <w:rPr>
          <w:rStyle w:val="CharStyle7"/>
          <w:i/>
          <w:iCs/>
        </w:rPr>
        <w:t xml:space="preserve">Расчет НМЦК (Спецификация) приложение </w:t>
      </w:r>
      <w:r>
        <w:rPr>
          <w:rStyle w:val="CharStyle7"/>
          <w:i/>
          <w:iCs/>
          <w:lang w:val="en-US" w:eastAsia="en-US"/>
        </w:rPr>
        <w:t xml:space="preserve">5-6, </w:t>
      </w:r>
      <w:r>
        <w:rPr>
          <w:rStyle w:val="CharStyle7"/>
          <w:i/>
          <w:iCs/>
        </w:rPr>
        <w:t xml:space="preserve">Расчет НМЦК (Спецификация) приложение </w:t>
      </w:r>
      <w:r>
        <w:rPr>
          <w:rStyle w:val="CharStyle7"/>
          <w:i/>
          <w:iCs/>
          <w:lang w:val="en-US" w:eastAsia="en-US"/>
        </w:rPr>
        <w:t xml:space="preserve">7-8, </w:t>
      </w:r>
      <w:r>
        <w:rPr>
          <w:rStyle w:val="CharStyle7"/>
          <w:i/>
          <w:iCs/>
        </w:rPr>
        <w:t xml:space="preserve">Расчет НМЦК (Спецификация) приложение </w:t>
      </w:r>
      <w:r>
        <w:rPr>
          <w:rStyle w:val="CharStyle7"/>
          <w:i/>
          <w:iCs/>
          <w:lang w:val="en-US" w:eastAsia="en-US"/>
        </w:rPr>
        <w:t xml:space="preserve">9-11, </w:t>
      </w:r>
      <w:r>
        <w:rPr>
          <w:rStyle w:val="CharStyle7"/>
          <w:i/>
          <w:iCs/>
        </w:rPr>
        <w:t xml:space="preserve">Расчет НМЦК (Спецификация) приложение </w:t>
      </w:r>
      <w:r>
        <w:rPr>
          <w:rStyle w:val="CharStyle7"/>
          <w:i/>
          <w:iCs/>
          <w:lang w:val="en-US" w:eastAsia="en-US"/>
        </w:rPr>
        <w:t xml:space="preserve">12-13 , </w:t>
      </w:r>
      <w:r>
        <w:rPr>
          <w:rStyle w:val="CharStyle7"/>
          <w:i/>
          <w:iCs/>
        </w:rPr>
        <w:t>где вы разместили перечни запасных частей в несколько десятков тысяч наименований. Запасные части относятся к легковым автомобилям иностранного производства.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Вы указали Комплектующая (запасная часть) для автомобилей и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марок автомобилей к которым относится комплектующая (запасная часть) и обоснование расчета цены по каждой марке. Как упоминалось выше, указанные марки автомобилей и запасные части к ним производят разные страны. Например: </w:t>
      </w:r>
      <w:r>
        <w:rPr>
          <w:rStyle w:val="CharStyle7"/>
          <w:i/>
          <w:iCs/>
          <w:lang w:val="en-US" w:eastAsia="en-US"/>
        </w:rPr>
        <w:t xml:space="preserve">Mazda, Mitsubishi, Toyota – </w:t>
      </w:r>
      <w:r>
        <w:rPr>
          <w:rStyle w:val="CharStyle7"/>
          <w:i/>
          <w:iCs/>
        </w:rPr>
        <w:t xml:space="preserve">Япония и др. страны, </w:t>
      </w:r>
      <w:r>
        <w:rPr>
          <w:rStyle w:val="CharStyle7"/>
          <w:i/>
          <w:iCs/>
          <w:lang w:val="en-US" w:eastAsia="en-US"/>
        </w:rPr>
        <w:t xml:space="preserve">Foton – </w:t>
      </w:r>
      <w:r>
        <w:rPr>
          <w:rStyle w:val="CharStyle7"/>
          <w:i/>
          <w:iCs/>
        </w:rPr>
        <w:t xml:space="preserve">Китай, </w:t>
      </w:r>
      <w:r>
        <w:rPr>
          <w:rStyle w:val="CharStyle7"/>
          <w:i/>
          <w:iCs/>
          <w:lang w:val="en-US" w:eastAsia="en-US"/>
        </w:rPr>
        <w:t xml:space="preserve">Ford – </w:t>
      </w:r>
      <w:r>
        <w:rPr>
          <w:rStyle w:val="CharStyle7"/>
          <w:i/>
          <w:iCs/>
        </w:rPr>
        <w:t xml:space="preserve">США, </w:t>
      </w:r>
      <w:r>
        <w:rPr>
          <w:rStyle w:val="CharStyle7"/>
          <w:i/>
          <w:iCs/>
          <w:lang w:val="en-US" w:eastAsia="en-US"/>
        </w:rPr>
        <w:t xml:space="preserve">Hyundai – </w:t>
      </w:r>
      <w:r>
        <w:rPr>
          <w:rStyle w:val="CharStyle7"/>
          <w:i/>
          <w:iCs/>
        </w:rPr>
        <w:t>Корея и т.д.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</w:rPr>
        <w:t>При заполнении в электронной заявке «Характеристика объекта закупки» раздела «Сведения о варианте поставки товара» требуется заполнить строку «Товарный знак» и строку «Страна происхождения».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Прошу разъяснить как можно указать Страну происхождения на весь перечень запасных частей, указанных в Расчетах НМЦК (Спецификация) приложение, так как указанный товар производится более чем в </w:t>
      </w:r>
      <w:r>
        <w:rPr>
          <w:rStyle w:val="CharStyle7"/>
          <w:i/>
          <w:iCs/>
          <w:lang w:val="en-US" w:eastAsia="en-US"/>
        </w:rPr>
        <w:t xml:space="preserve">10 </w:t>
      </w:r>
      <w:r>
        <w:rPr>
          <w:rStyle w:val="CharStyle7"/>
          <w:i/>
          <w:iCs/>
        </w:rPr>
        <w:t>странах. При заполнении в электронной заявке «Характеристика объекта закупки» раздела «Сведения о варианте поставки товара» можно заявить только одну страну происхождения. И в заявке можно описать товар только одной строчкой Комплектующая (запасная часть) для спецтехники. Легковые автомобили, указанные в вашей документации, не относятся к спецтехнике.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</w:rPr>
        <w:t>Ответ на запрос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</w:rPr>
        <w:t>Уважаемые Участники закупки!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</w:rPr>
        <w:t>Рассмотрев Ваш запрос, сообщаем следующее.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9" w:val="left"/>
        </w:tabs>
        <w:bidi w:val="0"/>
        <w:spacing w:before="0" w:after="0" w:line="290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1" w:bottom="658" w:left="1073" w:header="0" w:footer="230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</w:rPr>
        <w:t xml:space="preserve">По наименованию товара. В извещении указано обобщённое наименование «комплектующая (запасная часть)», которое охватывает все позиции, </w:t>
      </w:r>
      <w:r>
        <w:rPr>
          <w:rStyle w:val="CharStyle7"/>
          <w:sz w:val="24"/>
          <w:szCs w:val="24"/>
          <w:lang w:val="en-US" w:eastAsia="en-US"/>
        </w:rPr>
        <w:t>2026-24162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  <w:i/>
          <w:iCs/>
        </w:rPr>
        <w:t>необходимые для ремонта автомобилей. Уточнение «для спецтехники» не влияет на условия закупки и не ограничивает права участников.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  <w:i/>
          <w:iCs/>
        </w:rPr>
        <w:t xml:space="preserve">По стране происхождения и формированию СТЕ. В соответствии с ч.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>44-ФЗ указание страны происхождения товара является обязательным, если установлены запрет и ограничения допуска иностранных товаров. В рамках данной закупки такие запрет и ограничения отсутствуют, но применяется преимущество в отношении товаров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  <w:i/>
          <w:iCs/>
        </w:rPr>
        <w:t>Стандартная товарная единица будет сформирована поставщиком на каждую конкретную поставку запасных частей с указанием фактических позиций, количества, страны происхождения и производителя, после направления заявки Заказчиком. Обобщённое наименование в извещении не препятствует корректному оформлению документов в ЭДО.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рамках данных Заказчиком разъяснений не представлен ответ по существу запроса о порядке представления сведений о стране происхождения предлагаемых к поставке товаров, с учетом необходимых к поставке товаров, сведения о которых указаны в спецификациях, представленных в приложениях к описанию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 о нарушении Заказчиком ч.5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Одновременно с этим в ходе проведения внеплановой проверки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описании объекта закупки указано: </w:t>
      </w:r>
      <w:r>
        <w:rPr>
          <w:rStyle w:val="CharStyle7"/>
          <w:lang w:val="en-US" w:eastAsia="en-US"/>
        </w:rPr>
        <w:t xml:space="preserve">«2.1. </w:t>
      </w:r>
      <w:r>
        <w:rPr>
          <w:rStyle w:val="CharStyle7"/>
        </w:rPr>
        <w:t xml:space="preserve">Поставка запасных частей осуществляется для технического обслуживания и ремонта легковых автомобилей марок: </w:t>
      </w:r>
      <w:r>
        <w:rPr>
          <w:rStyle w:val="CharStyle7"/>
          <w:lang w:val="en-US" w:eastAsia="en-US"/>
        </w:rPr>
        <w:t>Mercedes Benz, Volkswagen, Mazda, Mitsubishi, Toyota, Honda, Nissan, Hyundai, Great Wall,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7"/>
          <w:lang w:val="en-US" w:eastAsia="en-US"/>
        </w:rPr>
        <w:t>Chevrolet, Ford, Foton».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Также Комиссией Управления установлено, что в приложении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>к описанию объекта закупки указано «Комплектующая (запасная часть) для спецтехники».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 указание «Комплектующая (запасная часть) для </w:t>
      </w:r>
      <w:r>
        <w:rPr>
          <w:rStyle w:val="CharStyle7"/>
          <w:i/>
          <w:iCs/>
        </w:rPr>
        <w:t>спецтехники</w:t>
      </w:r>
      <w:r>
        <w:rPr>
          <w:rStyle w:val="CharStyle7"/>
        </w:rPr>
        <w:t xml:space="preserve">» не соотносится с закупкой запчастей для </w:t>
      </w:r>
      <w:r>
        <w:rPr>
          <w:rStyle w:val="CharStyle7"/>
          <w:i/>
          <w:iCs/>
        </w:rPr>
        <w:t>легковых автомобилей, не являющихся спецтехникой</w:t>
      </w:r>
      <w:r>
        <w:rPr>
          <w:rStyle w:val="CharStyle7"/>
        </w:rPr>
        <w:t>, с учетом необходимых к поставке товаров, сведения о которых указаны в спецификациях, представленных в приложениях к описанию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Кроме того, Комиссия Управления отмечает, что, с учетом сведений о необходимых к поставке товарах, указанных в спецификациях, участникам закупки не представляется возможным надлежащим образом представить сведения о стране происхождения предлагаемых к поставке товаров.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4" w:bottom="1244" w:left="1107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Признать жалобу ООО «Система» на действия ГБУ «ПТЦ ПАСТ» обоснованной в части размещения разъяснений положений извещения в нарушение требований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Признать в действиях Заказчика нарушения п.1 ч.1 ст.33, ч.5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240" w:line="252" w:lineRule="auto"/>
        <w:ind w:left="0" w:right="0" w:firstLine="70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48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19494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200000000000003pt;margin-top:11.pt;width:149.30000000000001pt;height:19.699999999999999pt;z-index:-125829371;mso-wrap-distance-left:0;mso-wrap-distance-top:11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0030" distB="635" distL="0" distR="1816735" simplePos="0" relativeHeight="125829384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240030</wp:posOffset>
            </wp:positionV>
            <wp:extent cx="298450" cy="3473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300990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80000000000001pt;margin-top:23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194945" distL="0" distR="0" simplePos="0" relativeHeight="125829385" behindDoc="0" locked="0" layoutInCell="1" allowOverlap="1">
                <wp:simplePos x="0" y="0"/>
                <wp:positionH relativeFrom="page">
                  <wp:posOffset>6042660</wp:posOffset>
                </wp:positionH>
                <wp:positionV relativeFrom="paragraph">
                  <wp:posOffset>139700</wp:posOffset>
                </wp:positionV>
                <wp:extent cx="117665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5.80000000000001pt;margin-top:11.pt;width:92.650000000000006pt;height:19.699999999999999pt;z-index:-125829368;mso-wrap-distance-left:0;mso-wrap-distance-top:11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МИРОНОВА ЕЛЕНА АЛЕКСАНДРОВНА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3FC3074664AE0BF9622DE254DA2DA419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03.09.2025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27.1</w:t>
      </w:r>
      <w:r>
        <w:rPr>
          <w:rStyle w:val="CharStyle20"/>
          <w:color w:val="292929"/>
        </w:rPr>
        <w:t>1</w:t>
      </w:r>
      <w:r>
        <w:rPr>
          <w:rStyle w:val="CharStyle20"/>
        </w:rPr>
        <w:t>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0000000000003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75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5000000000001pt;margin-top:11.95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276EF4D805B62E966E204BCBEB72461C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right="0" w:firstLine="0"/>
        <w:jc w:val="left"/>
      </w:pPr>
      <w:r>
        <w:rPr>
          <w:rStyle w:val="CharStyle20"/>
        </w:rPr>
        <w:t xml:space="preserve">Действителен с 05.12.2025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28.02.2027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2026-24162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2026-24162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10214610</wp:posOffset>
              </wp:positionV>
              <wp:extent cx="69469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2026-24162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804.30000000000007pt;width:54.70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2026-24162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2026-24162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2026-24162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7.25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509270</wp:posOffset>
              </wp:positionV>
              <wp:extent cx="67310" cy="698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8.75pt;margin-top:40.100000000000001pt;width:5.2999999999999998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6200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pt;margin-top:37.25pt;width:6.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