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fldChar w:fldCharType="end"/>
      </w:r>
      <w:r>
        <w:rPr>
          <w:rStyle w:val="CharStyle10"/>
        </w:rPr>
        <w:tab/>
        <w:t>№ 20568/26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ГБУЗ «ГКБ им. С. С. Юдина ДЗМ» </w:t>
      </w: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«Высота»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"mailto:v-med2025@yandex.ru" </w:instrText>
      </w:r>
      <w:r>
        <w:fldChar w:fldCharType="separate"/>
      </w:r>
      <w:r>
        <w:rPr>
          <w:rStyle w:val="CharStyle12"/>
          <w:lang w:val="en-US" w:eastAsia="en-US"/>
        </w:rPr>
        <w:t>v-med2025@yandex.ru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46" w:bottom="708" w:left="1293" w:header="0" w:footer="3" w:gutter="0"/>
          <w:pgNumType w:start="1"/>
          <w:cols w:num="2" w:space="720" w:equalWidth="0">
            <w:col w:w="3806" w:space="1306"/>
            <w:col w:w="424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0" w:bottom="8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№077/06/105-5858/2026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12.05.2026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</w:t>
        <w:softHyphen/>
        <w:t>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«Высота»: Т.А. Дубровкиной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17.12.2025);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им. С.С. Юдина ДЗМ»: К.Н. Животова (по доверенности </w:t>
      </w:r>
      <w:r>
        <w:rPr>
          <w:rStyle w:val="CharStyle12"/>
          <w:lang w:val="en-US" w:eastAsia="en-US"/>
        </w:rPr>
        <w:t xml:space="preserve">№ 32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01.01.2026);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«Высота»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оперблока для нужд ГБУЗ «ГКБ им. С. С. Юдина ДЗМ»(00147/16) (Закупка </w:t>
      </w:r>
      <w:r>
        <w:rPr>
          <w:rStyle w:val="CharStyle12"/>
          <w:lang w:val="en-US" w:eastAsia="en-US"/>
        </w:rPr>
        <w:t xml:space="preserve">№ 0373200027426000856)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аукцион, электронный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№44- </w:t>
      </w:r>
      <w:r>
        <w:rPr>
          <w:rStyle w:val="CharStyle12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описании объекта закупки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Правила использования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0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541" w:bottom="85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П.6 Правил использования КТРУ установлено, что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пп.«а» п.13 Правил формирования КТРУ в описание товара, работы, услуги в соответствии с требованиями ст.33 Закона о контрактной системе включается в том числе 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</w:rPr>
        <w:t xml:space="preserve"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органом принято решение о включении в описание товара, работы, услуги, уполномоченный орган </w:t>
      </w:r>
      <w:r>
        <w:rPr>
          <w:rStyle w:val="CharStyle12"/>
          <w:sz w:val="24"/>
          <w:szCs w:val="24"/>
          <w:lang w:val="en-US" w:eastAsia="en-US"/>
        </w:rPr>
        <w:t>2026-23984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ст.19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отношении каждой характеристики, не имеющей количественной оценки, 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согласно описанию объекта закупки Заказчиком установлены требования к закупаемому товару по пп. </w:t>
      </w:r>
      <w:r>
        <w:rPr>
          <w:rStyle w:val="CharStyle12"/>
          <w:lang w:val="en-US" w:eastAsia="en-US"/>
        </w:rPr>
        <w:t xml:space="preserve">1-4 </w:t>
      </w:r>
      <w:r>
        <w:rPr>
          <w:rStyle w:val="CharStyle12"/>
        </w:rPr>
        <w:t xml:space="preserve">«Кабель соединительный для электрических медицинских изделий, многоразового использования», КТРУ </w:t>
      </w:r>
      <w:r>
        <w:rPr>
          <w:rStyle w:val="CharStyle12"/>
          <w:lang w:val="en-US" w:eastAsia="en-US"/>
        </w:rPr>
        <w:t xml:space="preserve">32.50.50.190-00000159 </w:t>
      </w:r>
      <w:r>
        <w:rPr>
          <w:rStyle w:val="CharStyle12"/>
        </w:rPr>
        <w:t>«Кабель соединительный для электрических медицинских изделий, многоразового использования»,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Кабель соединительный для электрических медицинских изделий, многоразового использования. Идентификатор: </w:t>
      </w:r>
      <w:r>
        <w:rPr>
          <w:rStyle w:val="CharStyle12"/>
          <w:i/>
          <w:iCs/>
          <w:lang w:val="en-US" w:eastAsia="en-US"/>
        </w:rPr>
        <w:t>212836350: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Область применения: Для передачи электроэнергии, сигнала (данных) между медицинскими изделиями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Диаметр разъемов </w:t>
      </w:r>
      <w:r>
        <w:rPr>
          <w:rStyle w:val="CharStyle12"/>
          <w:i/>
          <w:iCs/>
          <w:lang w:val="en-US" w:eastAsia="en-US"/>
        </w:rPr>
        <w:t xml:space="preserve">«touch-proof»: ≥ 24.8 </w:t>
      </w:r>
      <w:r>
        <w:rPr>
          <w:rStyle w:val="CharStyle12"/>
          <w:i/>
          <w:iCs/>
        </w:rPr>
        <w:t xml:space="preserve">и </w:t>
      </w:r>
      <w:r>
        <w:rPr>
          <w:rStyle w:val="CharStyle12"/>
          <w:i/>
          <w:iCs/>
          <w:lang w:val="en-US" w:eastAsia="en-US"/>
        </w:rPr>
        <w:t xml:space="preserve">≤ 25 </w:t>
      </w:r>
      <w:r>
        <w:rPr>
          <w:rStyle w:val="CharStyle12"/>
          <w:i/>
          <w:iCs/>
        </w:rPr>
        <w:t>Миллиметр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Длина инструмента: </w:t>
      </w:r>
      <w:r>
        <w:rPr>
          <w:rStyle w:val="CharStyle12"/>
          <w:i/>
          <w:iCs/>
          <w:lang w:val="en-US" w:eastAsia="en-US"/>
        </w:rPr>
        <w:t xml:space="preserve">≤ 30 </w:t>
      </w:r>
      <w:r>
        <w:rPr>
          <w:rStyle w:val="CharStyle12"/>
          <w:i/>
          <w:iCs/>
        </w:rPr>
        <w:t>Сантиметр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Длина кабеля: </w:t>
      </w:r>
      <w:r>
        <w:rPr>
          <w:rStyle w:val="CharStyle12"/>
          <w:i/>
          <w:iCs/>
          <w:lang w:val="en-US" w:eastAsia="en-US"/>
        </w:rPr>
        <w:t xml:space="preserve">≥ 310 </w:t>
      </w:r>
      <w:r>
        <w:rPr>
          <w:rStyle w:val="CharStyle12"/>
          <w:i/>
          <w:iCs/>
        </w:rPr>
        <w:t xml:space="preserve">и </w:t>
      </w:r>
      <w:r>
        <w:rPr>
          <w:rStyle w:val="CharStyle12"/>
          <w:i/>
          <w:iCs/>
          <w:lang w:val="en-US" w:eastAsia="en-US"/>
        </w:rPr>
        <w:t xml:space="preserve">≤ 380 </w:t>
      </w:r>
      <w:r>
        <w:rPr>
          <w:rStyle w:val="CharStyle12"/>
          <w:i/>
          <w:iCs/>
        </w:rPr>
        <w:t>Сантиметр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Количество контактов: </w:t>
      </w:r>
      <w:r>
        <w:rPr>
          <w:rStyle w:val="CharStyle12"/>
          <w:i/>
          <w:iCs/>
          <w:lang w:val="en-US" w:eastAsia="en-US"/>
        </w:rPr>
        <w:t xml:space="preserve">≥ 2 </w:t>
      </w:r>
      <w:r>
        <w:rPr>
          <w:rStyle w:val="CharStyle12"/>
          <w:i/>
          <w:iCs/>
        </w:rPr>
        <w:t>Штука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Количество контактов разъема со стороны </w:t>
      </w:r>
      <w:r>
        <w:rPr>
          <w:rStyle w:val="CharStyle12"/>
          <w:i/>
          <w:iCs/>
          <w:lang w:val="en-US" w:eastAsia="en-US"/>
        </w:rPr>
        <w:t xml:space="preserve">PIU : ≥ 6 </w:t>
      </w:r>
      <w:r>
        <w:rPr>
          <w:rStyle w:val="CharStyle12"/>
          <w:i/>
          <w:iCs/>
        </w:rPr>
        <w:t xml:space="preserve">и </w:t>
      </w:r>
      <w:r>
        <w:rPr>
          <w:rStyle w:val="CharStyle12"/>
          <w:i/>
          <w:iCs/>
          <w:lang w:val="en-US" w:eastAsia="en-US"/>
        </w:rPr>
        <w:t xml:space="preserve">≤ 7 </w:t>
      </w:r>
      <w:r>
        <w:rPr>
          <w:rStyle w:val="CharStyle12"/>
          <w:i/>
          <w:iCs/>
        </w:rPr>
        <w:t>Штука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Количество разъемов: </w:t>
      </w:r>
      <w:r>
        <w:rPr>
          <w:rStyle w:val="CharStyle12"/>
          <w:i/>
          <w:iCs/>
          <w:lang w:val="en-US" w:eastAsia="en-US"/>
        </w:rPr>
        <w:t xml:space="preserve">≥ 1 </w:t>
      </w:r>
      <w:r>
        <w:rPr>
          <w:rStyle w:val="CharStyle12"/>
          <w:i/>
          <w:iCs/>
        </w:rPr>
        <w:t>Штука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Тип использования: Многоразовый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Конструктивные особенности: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Штекер прямой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Штыревой разъем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Защитное покрытие кабеля полимерное, диэлектрическое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Штырь с защитной юбкой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доводам Заявителя в описании объекта закупки отсутствует информация о том, к какому медицинскому изделию приобретается «Кабель соединительный для электрических медицинских изделий, многоразового использования», так как это расходный материал, а не обособленное медицинское изделие.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обосновании своей позиции Заявитель указывает, что в описании объекта закупки указана характеристика «Длина инструмента», из чего можно сделать, что Заказчику требуется инструмент, а не просто кабель.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</w:rPr>
        <w:t xml:space="preserve">Описываемые в описании объекта закупки конструктивные особенности </w:t>
      </w:r>
      <w:r>
        <w:rPr>
          <w:rStyle w:val="CharStyle12"/>
          <w:sz w:val="24"/>
          <w:szCs w:val="24"/>
          <w:lang w:val="en-US" w:eastAsia="en-US"/>
        </w:rPr>
        <w:t>2026-23984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также не указывают на лапаросоническую рукоятку, которая состоит из собственно рукоятки с резьбовым штоком для соединения с инструментами-насадками и гибкого изоляционного провода с прорезиненным штекером для соединения с разъемом на передней панели генератора. Никакой защитной юбки нет у рукояток.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Также, если под требованием «Количество контактов разъема со стороны </w:t>
      </w:r>
      <w:r>
        <w:rPr>
          <w:rStyle w:val="CharStyle12"/>
          <w:lang w:val="en-US" w:eastAsia="en-US"/>
        </w:rPr>
        <w:t xml:space="preserve">PIU» </w:t>
      </w:r>
      <w:r>
        <w:rPr>
          <w:rStyle w:val="CharStyle12"/>
        </w:rPr>
        <w:t>понимается количество совместимых насадок, то не подходит ни одна рукоятка.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НКМИ </w:t>
      </w:r>
      <w:r>
        <w:rPr>
          <w:rStyle w:val="CharStyle12"/>
          <w:lang w:val="en-US" w:eastAsia="en-US"/>
        </w:rPr>
        <w:t xml:space="preserve">136950: </w:t>
      </w:r>
      <w:r>
        <w:rPr>
          <w:rStyle w:val="CharStyle12"/>
        </w:rPr>
        <w:t xml:space="preserve">Кабель соединительный для электрических медицинских изделий, многоразового использования указанному в описании объекта закупки в КТРУ </w:t>
      </w:r>
      <w:r>
        <w:rPr>
          <w:rStyle w:val="CharStyle12"/>
          <w:lang w:val="en-US" w:eastAsia="en-US"/>
        </w:rPr>
        <w:t xml:space="preserve">32.50.50.190-00000159 </w:t>
      </w:r>
      <w:r>
        <w:rPr>
          <w:rStyle w:val="CharStyle12"/>
        </w:rPr>
        <w:t>«Кабель соединительный для электрических медицинских изделий, многоразового использования» по сайту Росздравнадзора не найдено медицинского изделия подходящего под описание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Ни в одной позиции не указана совместимость с имеющейся в наличии у заказчика оборудованием, участники закупки не могут знать для соединения каких изделий необходим кабель.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 Заявитель в составе жалобы указывает на то, что описание объекта закупки извещения сформировано Заказчиком для товара «Рукоятка ультразвуковой хирургической системы для мягких тканей с ручным управлением, многоразового использования», соответствующего позиции КТРУ с реестровым номером </w:t>
      </w:r>
      <w:r>
        <w:rPr>
          <w:rStyle w:val="CharStyle12"/>
          <w:lang w:val="en-US" w:eastAsia="en-US"/>
        </w:rPr>
        <w:t xml:space="preserve">32.50.50.190-00001079 </w:t>
      </w:r>
      <w:r>
        <w:rPr>
          <w:rStyle w:val="CharStyle12"/>
        </w:rPr>
        <w:t xml:space="preserve">и коду НКМИ </w:t>
      </w:r>
      <w:r>
        <w:rPr>
          <w:rStyle w:val="CharStyle12"/>
          <w:lang w:val="en-US" w:eastAsia="en-US"/>
        </w:rPr>
        <w:t>162170.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что, в распоряжении Заказчика, имеется различное медицинское оборудование, в том числе ультразвуковой хирургический скальпель «Гармоник», на его примере хотим разяснить принцип функционирования закупаемых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Оборудование состоит из: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ультразвукового генератора;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ультразвукового инструмента;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соединительного провода (кабеля) между генератором и инструментом, с разъемом (штепселем) на обоих концах;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сетевого провода (кабеля).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выборе необходимого кода КТРУ по наименованию и виду, Заказчик руководствовался из соображений его назначения (функциональных и технических характеристик), а именно передача сигнала от основного оборудования до инструмента, и визуального восприятия предмета то есть провод или кабель.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обращении, на российском рынке находятся аналогичные медицинские изделия для ультразвуковых скальпелей различных производителей, и имеющих совершенно отличные названия от предложенного заявителем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«рукоятки»: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Пример </w:t>
      </w:r>
      <w:r>
        <w:rPr>
          <w:rStyle w:val="CharStyle12"/>
          <w:lang w:val="en-US" w:eastAsia="en-US"/>
        </w:rPr>
        <w:t xml:space="preserve">№ 1: </w:t>
      </w:r>
      <w:r>
        <w:rPr>
          <w:rStyle w:val="CharStyle12"/>
        </w:rPr>
        <w:t xml:space="preserve">«КАБЕЛЬ ПРЕОБРАЗОВАТЕЛЯ», для генератора электрохирургического, ультразвукового </w:t>
      </w:r>
      <w:r>
        <w:rPr>
          <w:rStyle w:val="CharStyle12"/>
          <w:lang w:val="en-US" w:eastAsia="en-US"/>
        </w:rPr>
        <w:t xml:space="preserve">CSUS 6000, </w:t>
      </w:r>
      <w:r>
        <w:rPr>
          <w:rStyle w:val="CharStyle12"/>
        </w:rPr>
        <w:t xml:space="preserve">по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2020/10143, </w:t>
      </w:r>
      <w:r>
        <w:rPr>
          <w:rStyle w:val="CharStyle12"/>
        </w:rPr>
        <w:t>производства «Рич Серджикал, Инк.».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8" w:bottom="591" w:left="1094" w:header="0" w:footer="16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«Лапаросоническая рукоятка </w:t>
      </w:r>
      <w:r>
        <w:rPr>
          <w:rStyle w:val="CharStyle12"/>
          <w:lang w:val="en-US" w:eastAsia="en-US"/>
        </w:rPr>
        <w:t xml:space="preserve">TRA6 </w:t>
      </w:r>
      <w:r>
        <w:rPr>
          <w:rStyle w:val="CharStyle12"/>
        </w:rPr>
        <w:t xml:space="preserve">к генератору хирургическому, </w:t>
      </w:r>
      <w:r>
        <w:rPr>
          <w:rStyle w:val="CharStyle12"/>
          <w:sz w:val="24"/>
          <w:szCs w:val="24"/>
          <w:lang w:val="en-US" w:eastAsia="en-US"/>
        </w:rPr>
        <w:t>2026-23984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ультразвуковому </w:t>
      </w:r>
      <w:r>
        <w:rPr>
          <w:rStyle w:val="CharStyle12"/>
          <w:lang w:val="en-US" w:eastAsia="en-US"/>
        </w:rPr>
        <w:t xml:space="preserve">CSUS8000, </w:t>
      </w:r>
      <w:r>
        <w:rPr>
          <w:rStyle w:val="CharStyle12"/>
        </w:rPr>
        <w:t xml:space="preserve">по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2024/22981,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2024/23085, </w:t>
      </w:r>
      <w:r>
        <w:rPr>
          <w:rStyle w:val="CharStyle12"/>
        </w:rPr>
        <w:t>производства «Рич Сёрджикал, Инк».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«УЛЬТРАЗВУКОВОЙ ПРЕОБРАЗОВАТЕЛЬ», к аппаратам серии </w:t>
      </w:r>
      <w:r>
        <w:rPr>
          <w:rStyle w:val="CharStyle12"/>
          <w:lang w:val="en-US" w:eastAsia="en-US"/>
        </w:rPr>
        <w:t xml:space="preserve">Thunderbeat, </w:t>
      </w:r>
      <w:r>
        <w:rPr>
          <w:rStyle w:val="CharStyle12"/>
        </w:rPr>
        <w:t xml:space="preserve">по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ФСЗ </w:t>
      </w:r>
      <w:r>
        <w:rPr>
          <w:rStyle w:val="CharStyle12"/>
          <w:lang w:val="en-US" w:eastAsia="en-US"/>
        </w:rPr>
        <w:t xml:space="preserve">2012/13524, </w:t>
      </w:r>
      <w:r>
        <w:rPr>
          <w:rStyle w:val="CharStyle12"/>
        </w:rPr>
        <w:t xml:space="preserve">ФСЗ </w:t>
      </w:r>
      <w:r>
        <w:rPr>
          <w:rStyle w:val="CharStyle12"/>
          <w:lang w:val="en-US" w:eastAsia="en-US"/>
        </w:rPr>
        <w:t xml:space="preserve">2012/13522, </w:t>
      </w:r>
      <w:r>
        <w:rPr>
          <w:rStyle w:val="CharStyle12"/>
        </w:rPr>
        <w:t>производства «Олимпас Медикал Системс Корпорейшен».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представитель Заказчика пояснил, что кабель соединительный выполняет ровно ту функцию, которая указана в описании объекта закупки: передача электроэнергии и сигнала (данных) между медицинскими изделиями (от генератора к рукоятке-преобразователю). Его корректная работа является необходимым условием для последующего преобразования энергии в рукоятке и передачи колебаний на насадку.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Именно поэтому в рамках данной технической системы кабель и преобразователь (рукоятка) являются функционально и конструктивно неразделимым целым для целей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Следовательно, указанная область применения кабеля полностью соответствует его техническому назначению в составе системы и не противоречит его роли как неотъемлемого компонента единого функционального узла (кабель- преобразователь). Данный довод жалобы основан на подмене функций разных компонентов системы и не может служить основанием для нарушения.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Требование к количеству электрических контактов </w:t>
      </w:r>
      <w:r>
        <w:rPr>
          <w:rStyle w:val="CharStyle12"/>
          <w:lang w:val="en-US" w:eastAsia="en-US"/>
        </w:rPr>
        <w:t xml:space="preserve">(≥ 6 </w:t>
      </w:r>
      <w:r>
        <w:rPr>
          <w:rStyle w:val="CharStyle12"/>
        </w:rPr>
        <w:t>шт.) является технически обоснованной характеристикой соединительного кабеля, обеспечивающей его функциональность и совместимость с конкретной моделью ультразвукового хирургического генератора и рукоятки-преобразователя.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Назначение требования: Указанное количество контактов обусловлено необходимостью передачи по кабелю не только электропитания, но и управляющих сигналов, данных идентификации инструмента (рукоятки) и обратной связи, что требуется для безопасной и эффективной работы всего комплекса оборудования. Данное требование направлено на обеспечение закупки кабеля, гарантированно совместимого с эксплуатируемой заказчиком медицинской техникой.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Требуемые технические параметры, включая тип и количество контактов в разъемах, определяются технической документацией (спецификациями) на генератор и рукоятку. Более того, данная информация не является закрытой или недоступной: визуальный осмотр разъема кабеля или соответствующего порта на самом генераторе позволяет определить количество контактов. Данные характеристики являются известными для производителей совместимых расходных материалов и компонентов и необходимы для корректного изготовления и поставки изделия.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Установление конкретного количественного требования к числу контактов является правом заказчика в рамках формирования технического задания для обеспечения закупки товара, соответствующего потребностям учреждения.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Так, Комиссией Управления был объявлен перерыв в рассмотрении жалобы для истребования документов и сведений от представителя Заказчика в обоснование своей позиции.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Так, после объявления перерыва в рассмотрении жалобы, представитель Заказчика пояснил, что длина инструмента подразумевается в виду длина элемента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конструкции (преобразователя), связанного с кабелем, имеет значение при использовании инструмента, для удобства применения в процессе хирургического вмешательства.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свою очередь параметр «длина кабеля» необходим для удобства хирурга в условиях ограниченного пространства операционной.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Количество контактов разъема со стороны </w:t>
      </w:r>
      <w:r>
        <w:rPr>
          <w:rStyle w:val="CharStyle12"/>
          <w:lang w:val="en-US" w:eastAsia="en-US"/>
        </w:rPr>
        <w:t xml:space="preserve">PIU ≥ 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≤ 7 </w:t>
      </w:r>
      <w:r>
        <w:rPr>
          <w:rStyle w:val="CharStyle12"/>
        </w:rPr>
        <w:t>Штука имеется у следующих медицинских изделий: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2024/22981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21.06.2024, </w:t>
      </w:r>
      <w:r>
        <w:rPr>
          <w:rStyle w:val="CharStyle12"/>
        </w:rPr>
        <w:t xml:space="preserve">количество разъемов </w:t>
      </w:r>
      <w:r>
        <w:rPr>
          <w:rStyle w:val="CharStyle12"/>
          <w:lang w:val="en-US" w:eastAsia="en-US"/>
        </w:rPr>
        <w:t xml:space="preserve">= 6 </w:t>
      </w:r>
      <w:r>
        <w:rPr>
          <w:rStyle w:val="CharStyle12"/>
        </w:rPr>
        <w:t>шт,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регистрационное удостоверение №ФСЗ </w:t>
      </w:r>
      <w:r>
        <w:rPr>
          <w:rStyle w:val="CharStyle12"/>
          <w:lang w:val="en-US" w:eastAsia="en-US"/>
        </w:rPr>
        <w:t xml:space="preserve">2011/11397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08.11.2005 </w:t>
      </w:r>
      <w:r>
        <w:rPr>
          <w:rStyle w:val="CharStyle12"/>
        </w:rPr>
        <w:t xml:space="preserve">количество разъемов </w:t>
      </w:r>
      <w:r>
        <w:rPr>
          <w:rStyle w:val="CharStyle12"/>
          <w:lang w:val="en-US" w:eastAsia="en-US"/>
        </w:rPr>
        <w:t xml:space="preserve">= 7 </w:t>
      </w:r>
      <w:r>
        <w:rPr>
          <w:rStyle w:val="CharStyle12"/>
        </w:rPr>
        <w:t>шт,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регистрационное удостоверение №РЗН </w:t>
      </w:r>
      <w:r>
        <w:rPr>
          <w:rStyle w:val="CharStyle12"/>
          <w:lang w:val="en-US" w:eastAsia="en-US"/>
        </w:rPr>
        <w:t xml:space="preserve">2023/20472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03.07.2023 </w:t>
      </w:r>
      <w:r>
        <w:rPr>
          <w:rStyle w:val="CharStyle12"/>
        </w:rPr>
        <w:t xml:space="preserve">количество разъемов </w:t>
      </w:r>
      <w:r>
        <w:rPr>
          <w:rStyle w:val="CharStyle12"/>
          <w:lang w:val="en-US" w:eastAsia="en-US"/>
        </w:rPr>
        <w:t xml:space="preserve">= 7 </w:t>
      </w:r>
      <w:r>
        <w:rPr>
          <w:rStyle w:val="CharStyle12"/>
        </w:rPr>
        <w:t>шт.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Вместе с тем Комиссия Управления отмечает, что, согласно сведениям единой информационной системы в описании позиции КТРУ </w:t>
      </w:r>
      <w:r>
        <w:rPr>
          <w:rStyle w:val="CharStyle12"/>
          <w:lang w:val="en-US" w:eastAsia="en-US"/>
        </w:rPr>
        <w:t xml:space="preserve">32.50.50.190-00000159, </w:t>
      </w:r>
      <w:r>
        <w:rPr>
          <w:rStyle w:val="CharStyle12"/>
        </w:rPr>
        <w:t>установленной в описании объекта закупки, определено следующее: «Не контактирующий с пациентом изолированный электрический кабель с разъемом (штепселем) на обоих концах, предназначенный для передачи электроэнергии и/или сигнала (данных) между медицинскими изделиями. Не предназначен для подключения к электродам и подключения к сети, не производит сам никакой энергии и/или сигнала и не имеет дополнительных функций неэлектрической проводки или обработки. Некоторые модели могут включать электроизолятор для предотвращения поражения электрическим током».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Комиссией Управления установлено, что в КТРУ имеется позиция, соответствующая товару, предложенному Участником, которая также не содержит обязательных и необязательных для применения характеристик, а именно позиция КТРУ </w:t>
      </w:r>
      <w:r>
        <w:rPr>
          <w:rStyle w:val="CharStyle12"/>
          <w:lang w:val="en-US" w:eastAsia="en-US"/>
        </w:rPr>
        <w:t xml:space="preserve">32.50.50.190-00001079 </w:t>
      </w:r>
      <w:r>
        <w:rPr>
          <w:rStyle w:val="CharStyle12"/>
        </w:rPr>
        <w:t>«Рукоятка ультразвуковой хирургической системы для мягких тканей с ручным управлением, многоразового использования» в описании которой установлено следующее: «Переносной компонент ультразвуковой хирургической системы, предназначенный для преобразования высокочастотного электрического тока с генератора в ультразвуковые колебания, подаваемые на размещенный на конце наконечник для механического фрагментирования в момент контакта клеток мягких тканей для разрезания и/или коагуляции ткани во время хирургической операции. Оператор регулирует энергию при помощи микропереключателя, встроенного в изделие. Рукоятка может также служить каналом для ирригации и аспирации во время хирургической операции. Изделие, как правило, имеет форму ручки/карандаша или удлиненного зонда с перманентно подсоединенными кабелями».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Управления отмечает, что вышеизложенное также подтверждают сведения из заявок участников закупки, поданные в рамках данного аукциона, согласно которым к поставке предлагаются товары со следующими регистрационными удостоверениями: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составе заявок с регистрационными номерами </w:t>
      </w:r>
      <w:r>
        <w:rPr>
          <w:rStyle w:val="CharStyle12"/>
          <w:lang w:val="en-US" w:eastAsia="en-US"/>
        </w:rPr>
        <w:t xml:space="preserve">3181779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3183700 </w:t>
      </w:r>
      <w:r>
        <w:rPr>
          <w:rStyle w:val="CharStyle12"/>
        </w:rPr>
        <w:t>участниками предложены товары, в том числе с регистрационными удостоверениями: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ФСЗ </w:t>
      </w:r>
      <w:r>
        <w:rPr>
          <w:rStyle w:val="CharStyle12"/>
          <w:lang w:val="en-US" w:eastAsia="en-US"/>
        </w:rPr>
        <w:t xml:space="preserve">2011/11397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28.02.2023 </w:t>
      </w:r>
      <w:r>
        <w:rPr>
          <w:rStyle w:val="CharStyle12"/>
        </w:rPr>
        <w:t>на товар Рукоятки лапаросонические к ультразвуковому скальпелю «Гармоник».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что вышеуказанному медицинскому изделию соответствует НКМИ </w:t>
      </w:r>
      <w:r>
        <w:rPr>
          <w:rStyle w:val="CharStyle12"/>
          <w:lang w:val="en-US" w:eastAsia="en-US"/>
        </w:rPr>
        <w:t xml:space="preserve">162170: </w:t>
      </w:r>
      <w:r>
        <w:rPr>
          <w:rStyle w:val="CharStyle12"/>
        </w:rPr>
        <w:t>Рукоятка ультразвуковой хирургической системы для мягких тканей с ручным управлением, многоразового использования.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2024/22981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21.06.2024 </w:t>
      </w:r>
      <w:r>
        <w:rPr>
          <w:rStyle w:val="CharStyle12"/>
        </w:rPr>
        <w:t xml:space="preserve">на товар Лапаросоническая рукоятка </w:t>
      </w:r>
      <w:r>
        <w:rPr>
          <w:rStyle w:val="CharStyle12"/>
          <w:lang w:val="en-US" w:eastAsia="en-US"/>
        </w:rPr>
        <w:t xml:space="preserve">TRA6 </w:t>
      </w:r>
      <w:r>
        <w:rPr>
          <w:rStyle w:val="CharStyle12"/>
        </w:rPr>
        <w:t xml:space="preserve">к генератору хирургическому, ультразвуковому </w:t>
      </w:r>
      <w:r>
        <w:rPr>
          <w:rStyle w:val="CharStyle12"/>
          <w:lang w:val="en-US" w:eastAsia="en-US"/>
        </w:rPr>
        <w:t>CSUS800.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что вышеуказанному медицинскому изделию соответствует НКМИ </w:t>
      </w:r>
      <w:r>
        <w:rPr>
          <w:rStyle w:val="CharStyle12"/>
          <w:lang w:val="en-US" w:eastAsia="en-US"/>
        </w:rPr>
        <w:t xml:space="preserve">162130: </w:t>
      </w:r>
      <w:r>
        <w:rPr>
          <w:rStyle w:val="CharStyle12"/>
        </w:rPr>
        <w:t>Рукоятка ультразвуковой хирургической системы для мягких тканей, многоразового использования.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приходит к выводу о ненадлежащем формировании Заказчиком извещения, поскольку при формировании извещения следовало применить соответствующую потребностям позицию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Исходя из вышеизложенного, а также в отсутствие документов и сведений, подтверждающих соответствие изделий различных производителей совокупности всех установленных Заказчиком требований, Комиссия Управления приходит выводу о нарушении Заказчиком положений ч.6 ст.23, п.1 ч.1 ст.33, п.5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38" w:right="553" w:bottom="1114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both"/>
      </w:pPr>
      <w:r>
        <w:rPr>
          <w:rStyle w:val="CharStyle12"/>
        </w:rPr>
        <w:t>1.Признать жалобу ООО «Высота» на действия ГБУЗ «ММКЦ «Коммунарка» ДЗМ»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both"/>
      </w:pPr>
      <w:r>
        <w:rPr>
          <w:rStyle w:val="CharStyle12"/>
        </w:rPr>
        <w:t>2.Признать в действиях Заказчика нарушение ч.6 ст.23, п.1 ч.1 ст.33, п.5 ч.1 ст.42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both"/>
      </w:pPr>
      <w:r>
        <w:rPr>
          <w:rStyle w:val="CharStyle12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28" w:lineRule="auto"/>
        <w:ind w:left="0" w:right="0" w:firstLine="640"/>
        <w:jc w:val="both"/>
      </w:pPr>
      <w:r>
        <w:rPr>
          <w:rStyle w:val="CharStyle12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46" w:bottom="38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26.pt;width:145.20000000000002pt;height:19.699999999999999pt;z-index:-125829374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1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0.35000000000002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2" behindDoc="0" locked="0" layoutInCell="1" allowOverlap="1">
                <wp:simplePos x="0" y="0"/>
                <wp:positionH relativeFrom="page">
                  <wp:posOffset>5853430</wp:posOffset>
                </wp:positionH>
                <wp:positionV relativeFrom="paragraph">
                  <wp:posOffset>330200</wp:posOffset>
                </wp:positionV>
                <wp:extent cx="1353185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0.90000000000003pt;margin-top:26.pt;width:106.55pt;height:19.699999999999999pt;z-index:-125829371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6" w:bottom="38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907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7.950000000000003pt;margin-top:9.pt;width:105.85000000000001pt;height:19.699999999999999pt;z-index:-125829369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0500" distB="0" distL="0" distR="1786255" simplePos="0" relativeHeight="125829386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190500</wp:posOffset>
            </wp:positionV>
            <wp:extent cx="359410" cy="39624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0.35000000000002pt;margin-top:21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9075" distL="0" distR="0" simplePos="0" relativeHeight="125829387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80.35000000000002pt;margin-top:9.pt;width:88.100000000000009pt;height:19.699999999999999pt;z-index:-125829366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56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3012440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0.10000000000002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120" w:line="266" w:lineRule="auto"/>
        <w:ind w:right="0" w:firstLine="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69469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4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7.3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392430</wp:posOffset>
              </wp:positionV>
              <wp:extent cx="1524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0000000000002pt;margin-top:30.900000000000002pt;width:12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33655" cy="10668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37.25pt;width:2.6499999999999999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392430</wp:posOffset>
              </wp:positionV>
              <wp:extent cx="15240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10000000000002pt;margin-top:30.900000000000002pt;width:12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3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