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5.05.2026</w:t>
      </w:r>
      <w:r>
        <w:fldChar w:fldCharType="end"/>
      </w:r>
      <w:r>
        <w:rPr>
          <w:rStyle w:val="CharStyle10"/>
        </w:rPr>
        <w:tab/>
        <w:t>№ 20550/26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ГБУЗ «ГКБ им. С. С. Юдина ДЗМ» </w:t>
      </w:r>
      <w:r>
        <w:fldChar w:fldCharType="begin"/>
      </w:r>
      <w:r>
        <w:rPr/>
        <w:instrText> HYPERLINK "mailto:gkb-yudina@zdrav.mos.ru" </w:instrText>
      </w:r>
      <w:r>
        <w:fldChar w:fldCharType="separate"/>
      </w:r>
      <w:r>
        <w:rPr>
          <w:rStyle w:val="CharStyle12"/>
          <w:lang w:val="en-US" w:eastAsia="en-US"/>
        </w:rPr>
        <w:t>gkb-yudina@zdrav.mos.ru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ООО «М1»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"mailto:ooom1-med@yandex.ru" </w:instrText>
      </w:r>
      <w:r>
        <w:fldChar w:fldCharType="separate"/>
      </w:r>
      <w:r>
        <w:rPr>
          <w:rStyle w:val="CharStyle12"/>
          <w:lang w:val="en-US" w:eastAsia="en-US"/>
        </w:rPr>
        <w:t>ooom1-med@yandex.ru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47" w:bottom="708" w:left="1293" w:header="0" w:footer="3" w:gutter="0"/>
          <w:pgNumType w:start="1"/>
          <w:cols w:num="2" w:space="720" w:equalWidth="0">
            <w:col w:w="3806" w:space="1306"/>
            <w:col w:w="4248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3" w:right="0" w:bottom="9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№077/06/105-5860/2026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12.05.2026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главного государственного инспектора отдела обжа</w:t>
        <w:softHyphen/>
        <w:t>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Гелмутдиновой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ГБУЗ «ГКБ им. С.С. Юдина ДЗМ»: К.Н. Животова (по доверенности </w:t>
      </w:r>
      <w:r>
        <w:rPr>
          <w:rStyle w:val="CharStyle12"/>
          <w:lang w:val="en-US" w:eastAsia="en-US"/>
        </w:rPr>
        <w:t xml:space="preserve">№ 32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01.01.2026);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отсутствие представителей ООО «М1»,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«М1»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«ГКБ им. С.С. Юдина 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(Степлер режущий эндоскопический с электроприводом, одноразового использования) для оперблока для нужд ГБУЗ «ГКБ им. С. С. Юдина ДЗМ»(00147/14) (Закупка </w:t>
      </w:r>
      <w:r>
        <w:rPr>
          <w:rStyle w:val="CharStyle12"/>
          <w:lang w:val="en-US" w:eastAsia="en-US"/>
        </w:rPr>
        <w:t xml:space="preserve">№ 0373200027426000858)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>–</w:t>
      </w:r>
    </w:p>
    <w:p>
      <w:pPr>
        <w:widowControl w:val="0"/>
        <w:spacing w:after="59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аукцион, электронный 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описании объекта закупки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3" w:right="539" w:bottom="986" w:left="1099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Таким образом, ст.33 Закона о контрактной систем содержит в себе закрытый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перечень случаев, когда Заказчик вправе закупать товары конкретного производителя (пп.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согласно описанию объекта закупки Заказчиком установлены требования к закупаемому товару «Степлер режущий эндоскопический с электроприводом, одноразового использования», КТРУ </w:t>
      </w:r>
      <w:r>
        <w:rPr>
          <w:rStyle w:val="CharStyle12"/>
          <w:lang w:val="en-US" w:eastAsia="en-US"/>
        </w:rPr>
        <w:t>32.50.50.190-00000566.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доводам Заявителя в нарушение требований ст.33 Закона о контрактной системе Заказчиком закупаются Степлер режущий эндоскопический с электроприводом, одноразового использования ко всему лоту для которых возможна поставка единственного производителя Этикон Эндо-Серджери, Эл-Эл</w:t>
        <w:softHyphen/>
        <w:t xml:space="preserve">Си. (п.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товар </w:t>
      </w:r>
      <w:r>
        <w:rPr>
          <w:rStyle w:val="CharStyle12"/>
          <w:lang w:val="en-US" w:eastAsia="en-US"/>
        </w:rPr>
        <w:t xml:space="preserve">ECH60S, </w:t>
      </w:r>
      <w:r>
        <w:rPr>
          <w:rStyle w:val="CharStyle12"/>
        </w:rPr>
        <w:t xml:space="preserve">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товар </w:t>
      </w:r>
      <w:r>
        <w:rPr>
          <w:rStyle w:val="CharStyle12"/>
          <w:lang w:val="en-US" w:eastAsia="en-US"/>
        </w:rPr>
        <w:t xml:space="preserve">ECH45S, </w:t>
      </w:r>
      <w:r>
        <w:rPr>
          <w:rStyle w:val="CharStyle12"/>
        </w:rPr>
        <w:t xml:space="preserve">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товар </w:t>
      </w:r>
      <w:r>
        <w:rPr>
          <w:rStyle w:val="CharStyle12"/>
          <w:lang w:val="en-US" w:eastAsia="en-US"/>
        </w:rPr>
        <w:t xml:space="preserve">ECH45L, </w:t>
      </w:r>
      <w:r>
        <w:rPr>
          <w:rStyle w:val="CharStyle12"/>
        </w:rPr>
        <w:t xml:space="preserve">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товар </w:t>
      </w:r>
      <w:r>
        <w:rPr>
          <w:rStyle w:val="CharStyle12"/>
          <w:lang w:val="en-US" w:eastAsia="en-US"/>
        </w:rPr>
        <w:t xml:space="preserve">PVE35A, </w:t>
      </w:r>
      <w:r>
        <w:rPr>
          <w:rStyle w:val="CharStyle12"/>
        </w:rPr>
        <w:t xml:space="preserve">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товар </w:t>
      </w:r>
      <w:r>
        <w:rPr>
          <w:rStyle w:val="CharStyle12"/>
          <w:lang w:val="en-US" w:eastAsia="en-US"/>
        </w:rPr>
        <w:t>ECH45C)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Основное ограничивающее требования для всех позиций </w:t>
      </w:r>
      <w:r>
        <w:rPr>
          <w:rStyle w:val="CharStyle12"/>
          <w:lang w:val="en-US" w:eastAsia="en-US"/>
        </w:rPr>
        <w:t xml:space="preserve">1, 2, 3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5: </w:t>
      </w:r>
      <w:r>
        <w:rPr>
          <w:rStyle w:val="CharStyle12"/>
        </w:rPr>
        <w:t xml:space="preserve">«Угол артикуляции </w:t>
      </w:r>
      <w:r>
        <w:rPr>
          <w:rStyle w:val="CharStyle12"/>
          <w:lang w:val="en-US" w:eastAsia="en-US"/>
        </w:rPr>
        <w:t xml:space="preserve">≥ 55 </w:t>
      </w:r>
      <w:r>
        <w:rPr>
          <w:rStyle w:val="CharStyle12"/>
        </w:rPr>
        <w:t xml:space="preserve">Градус (плоского угла)», а для позиции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«Угол артикуляции </w:t>
      </w:r>
      <w:r>
        <w:rPr>
          <w:rStyle w:val="CharStyle12"/>
          <w:lang w:val="en-US" w:eastAsia="en-US"/>
        </w:rPr>
        <w:t xml:space="preserve">≥ 50 </w:t>
      </w:r>
      <w:r>
        <w:rPr>
          <w:rStyle w:val="CharStyle12"/>
        </w:rPr>
        <w:t>Градус (плоского угла)»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установленные в описании объекта закупки степлерные кассеты, были закуплены ранее в рамках отдельных контрактов, оплачены за счет бюджетных средств и имеют длительный остаточный срок годности. Однако их использование невозможно без функционально совместимых с ними аппаратов (степлеров режущих эндоскопических с электроприводом), которые и выступают объектом текущей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682" w:left="1101" w:header="0" w:footer="254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Требование к углу артикуляции, установленное в извещении, не является произвольным или избыточным. Данный параметр выполняет функцию идентификатора производителя и служит единственным объективным критерием гарантирующим полную механическую и функциональную совместимость </w:t>
      </w:r>
      <w:r>
        <w:rPr>
          <w:rStyle w:val="CharStyle12"/>
          <w:sz w:val="24"/>
          <w:szCs w:val="24"/>
          <w:lang w:val="en-US" w:eastAsia="en-US"/>
        </w:rPr>
        <w:t>2026-23817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закупаемых аппаратов с уже находящимися на балансе Заказчика сменными степлерными кассетами производства «Этикон Эндо-Серджери, Эл-Эл-Си».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Таким образом, закупка аппаратов с углом артикуляции ниже значений, под которые спроектированы складские степлерные кассеты </w:t>
      </w:r>
      <w:r>
        <w:rPr>
          <w:rStyle w:val="CharStyle12"/>
          <w:lang w:val="en-US" w:eastAsia="en-US"/>
        </w:rPr>
        <w:t xml:space="preserve">(55°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50° </w:t>
      </w:r>
      <w:r>
        <w:rPr>
          <w:rStyle w:val="CharStyle12"/>
        </w:rPr>
        <w:t>соответственно), приведет к тому, что Заказчик будет вынужден единовременно списать и утилизировать весь имеющийся запас расходных материалов, закупая их заново.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Кроме того представитель Заказчика пояснил, что установление Заказчиком параметра «угол артикуляции </w:t>
      </w:r>
      <w:r>
        <w:rPr>
          <w:rStyle w:val="CharStyle12"/>
          <w:lang w:val="en-US" w:eastAsia="en-US"/>
        </w:rPr>
        <w:t xml:space="preserve">≥ 55°» </w:t>
      </w:r>
      <w:r>
        <w:rPr>
          <w:rStyle w:val="CharStyle12"/>
        </w:rPr>
        <w:t xml:space="preserve">(и </w:t>
      </w:r>
      <w:r>
        <w:rPr>
          <w:rStyle w:val="CharStyle12"/>
          <w:lang w:val="en-US" w:eastAsia="en-US"/>
        </w:rPr>
        <w:t xml:space="preserve">«≥ 50°» </w:t>
      </w:r>
      <w:r>
        <w:rPr>
          <w:rStyle w:val="CharStyle12"/>
        </w:rPr>
        <w:t xml:space="preserve">для позиции </w:t>
      </w:r>
      <w:r>
        <w:rPr>
          <w:rStyle w:val="CharStyle12"/>
          <w:lang w:val="en-US" w:eastAsia="en-US"/>
        </w:rPr>
        <w:t xml:space="preserve">4) </w:t>
      </w:r>
      <w:r>
        <w:rPr>
          <w:rStyle w:val="CharStyle12"/>
        </w:rPr>
        <w:t xml:space="preserve">не является нарушением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о контрактной системе, а полностью укладывается в предусмотренное указанной нормой исключение для случаев закупки запасных частей и расходных материалов к оборудованию (медицинскому изделию), используемому заказчиком. В данном случае оборудованием (инструментом) является закупаемый степлер, а расходным материалом к нему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уже полученные и хранящиеся на складе степлерные кассеты. Заказчик имеет право формировать описание объекта закупки таким образом, чтобы вновь закупаемый актив был совместим с ранее приобретенными изделиями.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Так, Комиссией Управления был объявлен перерыв в рассмотрении жалобы для истребования документов и сведений от представителя Заказчика подтверждающих, что у учреждения есть неопровержимая потребность в закупке степлера режущего эндоскопического с электроприводом, одноразового использования для определенных степлерных кассет, в том числе, что степлерные кассеты находятся на балансе учреждения и, например, имеются на складе, что указывает на закупку конкретно тех степлеров, потребность которых установлена Заказчиком в описании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Так, после объявления перерыва в рассмотрении жалобы, представитель Заказчика представил письмо (Исх. </w:t>
      </w:r>
      <w:r>
        <w:rPr>
          <w:rStyle w:val="CharStyle12"/>
          <w:lang w:val="en-US" w:eastAsia="en-US"/>
        </w:rPr>
        <w:t xml:space="preserve">№ 2602-7/26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26.02.2026) </w:t>
      </w:r>
      <w:r>
        <w:rPr>
          <w:rStyle w:val="CharStyle12"/>
        </w:rPr>
        <w:t xml:space="preserve">от ООО «Джонсон </w:t>
      </w:r>
      <w:r>
        <w:rPr>
          <w:rStyle w:val="CharStyle12"/>
          <w:lang w:val="en-US" w:eastAsia="en-US"/>
        </w:rPr>
        <w:t xml:space="preserve">&amp; </w:t>
      </w:r>
      <w:r>
        <w:rPr>
          <w:rStyle w:val="CharStyle12"/>
        </w:rPr>
        <w:t xml:space="preserve">Джонсон», являющееся уполномоченным представителем компании Этикон Эндо-Серджери, Эл-Эл-Си </w:t>
      </w:r>
      <w:r>
        <w:rPr>
          <w:rStyle w:val="CharStyle12"/>
          <w:lang w:val="en-US" w:eastAsia="en-US"/>
        </w:rPr>
        <w:t xml:space="preserve">(Ethicon Endo-Surgery, LLC), </w:t>
      </w:r>
      <w:r>
        <w:rPr>
          <w:rStyle w:val="CharStyle12"/>
        </w:rPr>
        <w:t xml:space="preserve">согласно которому, в том числе определено, что </w:t>
      </w:r>
      <w:r>
        <w:rPr>
          <w:rStyle w:val="CharStyle12"/>
          <w:lang w:val="en-US" w:eastAsia="en-US"/>
        </w:rPr>
        <w:t>«...</w:t>
      </w:r>
      <w:r>
        <w:rPr>
          <w:rStyle w:val="CharStyle12"/>
        </w:rPr>
        <w:t xml:space="preserve">аппараты серии </w:t>
      </w:r>
      <w:r>
        <w:rPr>
          <w:rStyle w:val="CharStyle12"/>
          <w:lang w:val="en-US" w:eastAsia="en-US"/>
        </w:rPr>
        <w:t xml:space="preserve">ECHELON </w:t>
      </w:r>
      <w:r>
        <w:rPr>
          <w:rStyle w:val="CharStyle12"/>
        </w:rPr>
        <w:t>имеют возможность комплектования кассетами: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«Кассета сменная со скобами к аппаратам сшивающе-режущим </w:t>
      </w:r>
      <w:r>
        <w:rPr>
          <w:rStyle w:val="CharStyle12"/>
          <w:lang w:val="en-US" w:eastAsia="en-US"/>
        </w:rPr>
        <w:t xml:space="preserve">ECHELON Flex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ECHELON Flex Plus», </w:t>
      </w:r>
      <w:r>
        <w:rPr>
          <w:rStyle w:val="CharStyle12"/>
        </w:rPr>
        <w:t xml:space="preserve">регистрационное удостоверение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ФСЗ </w:t>
      </w:r>
      <w:r>
        <w:rPr>
          <w:rStyle w:val="CharStyle12"/>
          <w:lang w:val="en-US" w:eastAsia="en-US"/>
        </w:rPr>
        <w:t xml:space="preserve">2011/08985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30.09.2025 </w:t>
      </w:r>
      <w:r>
        <w:rPr>
          <w:rStyle w:val="CharStyle12"/>
        </w:rPr>
        <w:t>г.,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«Кассеты сменные со скобами к аппаратам сшивающе-режущим, в вариантах исполнения: Кассеты сменные со скобами </w:t>
      </w:r>
      <w:r>
        <w:rPr>
          <w:rStyle w:val="CharStyle12"/>
          <w:lang w:val="en-US" w:eastAsia="en-US"/>
        </w:rPr>
        <w:t xml:space="preserve">Endopath Echelon </w:t>
      </w:r>
      <w:r>
        <w:rPr>
          <w:rStyle w:val="CharStyle12"/>
        </w:rPr>
        <w:t xml:space="preserve">к аппаратам сшивающе-режущим </w:t>
      </w:r>
      <w:r>
        <w:rPr>
          <w:rStyle w:val="CharStyle12"/>
          <w:lang w:val="en-US" w:eastAsia="en-US"/>
        </w:rPr>
        <w:t xml:space="preserve">ECHELON Flex 35 – 12 </w:t>
      </w:r>
      <w:r>
        <w:rPr>
          <w:rStyle w:val="CharStyle12"/>
        </w:rPr>
        <w:t xml:space="preserve">шт./уп.», регистрационное удостоверение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2023/21402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24.10.2023 </w:t>
      </w:r>
      <w:r>
        <w:rPr>
          <w:rStyle w:val="CharStyle12"/>
        </w:rPr>
        <w:t>г., производства «Этикон Эндо- Серджери, Эл-Эл-Си», США.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Производитель подтверждает совместное применение аппаратов серии </w:t>
      </w:r>
      <w:r>
        <w:rPr>
          <w:rStyle w:val="CharStyle12"/>
          <w:lang w:val="en-US" w:eastAsia="en-US"/>
        </w:rPr>
        <w:t xml:space="preserve">ECHELON </w:t>
      </w:r>
      <w:r>
        <w:rPr>
          <w:rStyle w:val="CharStyle12"/>
        </w:rPr>
        <w:t xml:space="preserve">исключительно с Кассетами и Кассет исключительно с Аппаратами серии </w:t>
      </w:r>
      <w:r>
        <w:rPr>
          <w:rStyle w:val="CharStyle12"/>
          <w:lang w:val="en-US" w:eastAsia="en-US"/>
        </w:rPr>
        <w:t xml:space="preserve">ECHELON </w:t>
      </w:r>
      <w:r>
        <w:rPr>
          <w:rStyle w:val="CharStyle12"/>
        </w:rPr>
        <w:t>в связи с безопасностью применения и соблюдением эксплуатационных характеристик в соответствии с инструкциями по применению медицинских изделий, утвержденных Производителем</w:t>
      </w:r>
      <w:r>
        <w:rPr>
          <w:rStyle w:val="CharStyle12"/>
          <w:lang w:val="en-US" w:eastAsia="en-US"/>
        </w:rPr>
        <w:t>...».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Также представлено информационное письмо от ООО «Джонсон </w:t>
      </w:r>
      <w:r>
        <w:rPr>
          <w:rStyle w:val="CharStyle12"/>
          <w:lang w:val="en-US" w:eastAsia="en-US"/>
        </w:rPr>
        <w:t xml:space="preserve">&amp; </w:t>
      </w:r>
      <w:r>
        <w:rPr>
          <w:rStyle w:val="CharStyle12"/>
        </w:rPr>
        <w:t>Джонсон»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90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(Исх. </w:t>
      </w:r>
      <w:r>
        <w:rPr>
          <w:rStyle w:val="CharStyle12"/>
          <w:lang w:val="en-US" w:eastAsia="en-US"/>
        </w:rPr>
        <w:t xml:space="preserve">№ 0402-7/26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04.02.2026), </w:t>
      </w:r>
      <w:r>
        <w:rPr>
          <w:rStyle w:val="CharStyle12"/>
        </w:rPr>
        <w:t xml:space="preserve">согласно которому, в том числе определено: </w:t>
      </w:r>
      <w:r>
        <w:rPr>
          <w:rStyle w:val="CharStyle12"/>
          <w:lang w:val="en-US" w:eastAsia="en-US"/>
        </w:rPr>
        <w:t>«...</w:t>
      </w:r>
      <w:r>
        <w:rPr>
          <w:rStyle w:val="CharStyle12"/>
        </w:rPr>
        <w:t>Аппарат</w:t>
        <w:tab/>
        <w:t xml:space="preserve">сшивающе-режущий эндоскопический </w:t>
      </w:r>
      <w:r>
        <w:rPr>
          <w:rStyle w:val="CharStyle12"/>
          <w:lang w:val="en-US" w:eastAsia="en-US"/>
        </w:rPr>
        <w:t>ECHELON 3000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артикуляционный линейный электрический автономный с изменяющимся углом рабочей части», каталожные коды </w:t>
      </w:r>
      <w:r>
        <w:rPr>
          <w:rStyle w:val="CharStyle12"/>
          <w:lang w:val="en-US" w:eastAsia="en-US"/>
        </w:rPr>
        <w:t xml:space="preserve">ECH45C, ECH45S, ECH45L, ECH60C, ECH60S, ECH60L </w:t>
      </w:r>
      <w:r>
        <w:rPr>
          <w:rStyle w:val="CharStyle12"/>
        </w:rPr>
        <w:t>(номер ЕРУЛ: Г004-00110-00/03256191) используется при хирургических операциях для прошивания тканей с наложением двух тройных рядов скобок из титанового сплава, расположенных в шахматном порядке и одновременным рассечением ткани между ними.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Основными характеристиками </w:t>
      </w:r>
      <w:r>
        <w:rPr>
          <w:rStyle w:val="CharStyle12"/>
          <w:lang w:val="en-US" w:eastAsia="en-US"/>
        </w:rPr>
        <w:t xml:space="preserve">ECHELON 3000 </w:t>
      </w:r>
      <w:r>
        <w:rPr>
          <w:rStyle w:val="CharStyle12"/>
        </w:rPr>
        <w:t>являются: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Автоматическая система прошивания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Электрическая непрерывная артикуляция с шагом в </w:t>
      </w:r>
      <w:r>
        <w:rPr>
          <w:rStyle w:val="CharStyle12"/>
          <w:lang w:val="en-US" w:eastAsia="en-US"/>
        </w:rPr>
        <w:t>1°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Максимальный угол артикуляции </w:t>
      </w:r>
      <w:r>
        <w:rPr>
          <w:rStyle w:val="CharStyle12"/>
          <w:lang w:val="en-US" w:eastAsia="en-US"/>
        </w:rPr>
        <w:t xml:space="preserve">55 </w:t>
      </w:r>
      <w:r>
        <w:rPr>
          <w:rStyle w:val="CharStyle12"/>
        </w:rPr>
        <w:t>градусов в каждую сторону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Расширенная апертура бранш до </w:t>
      </w:r>
      <w:r>
        <w:rPr>
          <w:rStyle w:val="CharStyle12"/>
          <w:lang w:val="en-US" w:eastAsia="en-US"/>
        </w:rPr>
        <w:t xml:space="preserve">22,8 </w:t>
      </w:r>
      <w:r>
        <w:rPr>
          <w:rStyle w:val="CharStyle12"/>
        </w:rPr>
        <w:t>мм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Укороченный узел артикуляции до </w:t>
      </w:r>
      <w:r>
        <w:rPr>
          <w:rStyle w:val="CharStyle12"/>
          <w:lang w:val="en-US" w:eastAsia="en-US"/>
        </w:rPr>
        <w:t xml:space="preserve">28, 4 </w:t>
      </w:r>
      <w:r>
        <w:rPr>
          <w:rStyle w:val="CharStyle12"/>
        </w:rPr>
        <w:t>мм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Наличие кнопки «Домой», осуществляющей автоматический возврат браншей в исходное положение</w:t>
      </w:r>
      <w:r>
        <w:rPr>
          <w:rStyle w:val="CharStyle12"/>
          <w:lang w:val="en-US" w:eastAsia="en-US"/>
        </w:rPr>
        <w:t>...».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Управления отмечает, что ст.33 Закона о контрактной системе напрямую запрещено закупать товары конкретного производителя за исключением случаев указанных в пп.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«г» п.1 ч.1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Тем самым Комиссия Управления приходит к выводу, что в материалы дела не представлены документальные сведения, свидетельствующие что кассеты для закупаемого степлера по оспариваемым позициям находятся на балансе учреждения, что подтверждало бы неопровержимую потребность Заказчика в закупке степлеров именно с теми характеристиками, которые указаны в описании объекта закупки, в том числе оспариваемые Заявителем.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этом, представленные вышеуказанные информационные письма очевидно, не подтверждают вышеизложенное.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Кроме того, на заседании Комиссии Управления представителем Заказчика не представлено доказательств необходимости применения исключений, отраженных в пп.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«г» п.1 ч.1 ст.33 Закона о контрактной системе, к данной закупочной процедуре.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Исходя из вышеизложенного, а также в отсутствие документов и сведений подтверждающих соответствие изделий различных производителей совокупности всех установленных Заказчиком требований, Комиссия Управления приходит выводу о нарушении Заказчиком положений п.1 ч.1 ст.33 Закона о контрактной системе при формировании описания объекта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ч.6 ст.7.30.1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26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1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.Признать жалобу ООО «М1» на действия ГБУЗ «ГКБ им. С. С. Юдина ДЗМ»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4" w:val="left"/>
        </w:tabs>
        <w:bidi w:val="0"/>
        <w:spacing w:before="0" w:after="0" w:line="221" w:lineRule="auto"/>
        <w:ind w:left="0" w:right="0" w:firstLine="640"/>
        <w:jc w:val="both"/>
      </w:pPr>
      <w:r>
        <w:rPr>
          <w:rStyle w:val="CharStyle12"/>
        </w:rPr>
        <w:t>.Признать в действиях Заказчика нарушение п.1 ч.1 ст.33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4" w:val="left"/>
        </w:tabs>
        <w:bidi w:val="0"/>
        <w:spacing w:before="0" w:after="0" w:line="226" w:lineRule="auto"/>
        <w:ind w:left="0" w:right="0" w:firstLine="640"/>
        <w:jc w:val="both"/>
      </w:pPr>
      <w:r>
        <w:rPr>
          <w:rStyle w:val="CharStyle12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0" w:val="left"/>
        </w:tabs>
        <w:bidi w:val="0"/>
        <w:spacing w:before="0" w:after="180" w:line="223" w:lineRule="auto"/>
        <w:ind w:left="0" w:right="0" w:firstLine="640"/>
        <w:jc w:val="both"/>
      </w:pPr>
      <w:r>
        <w:rPr>
          <w:rStyle w:val="CharStyle12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38" w:right="553" w:bottom="1114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6535" distL="0" distR="0" simplePos="0" relativeHeight="125829378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100000000000001pt;margin-top:26.pt;width:145.20000000000002pt;height:19.900000000000002pt;z-index:-125829375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0" behindDoc="0" locked="0" layoutInCell="1" allowOverlap="1">
            <wp:simplePos x="0" y="0"/>
            <wp:positionH relativeFrom="page">
              <wp:posOffset>3066415</wp:posOffset>
            </wp:positionH>
            <wp:positionV relativeFrom="paragraph">
              <wp:posOffset>403225</wp:posOffset>
            </wp:positionV>
            <wp:extent cx="359410" cy="39624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3486785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4.55000000000001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6535" distL="0" distR="0" simplePos="0" relativeHeight="125829381" behindDoc="0" locked="0" layoutInCell="1" allowOverlap="1">
                <wp:simplePos x="0" y="0"/>
                <wp:positionH relativeFrom="page">
                  <wp:posOffset>5821680</wp:posOffset>
                </wp:positionH>
                <wp:positionV relativeFrom="paragraph">
                  <wp:posOffset>330200</wp:posOffset>
                </wp:positionV>
                <wp:extent cx="1359535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953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58.40000000000003pt;margin-top:26.pt;width:107.05pt;height:19.900000000000002pt;z-index:-125829372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12.08.2026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31" w:right="551" w:bottom="221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03835" distL="0" distR="0" simplePos="0" relativeHeight="125829383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114300</wp:posOffset>
                </wp:positionV>
                <wp:extent cx="1344295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57.850000000000001pt;margin-top:9.pt;width:105.85000000000001pt;height:19.699999999999999pt;z-index:-125829370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2565" distB="0" distL="0" distR="1804670" simplePos="0" relativeHeight="125829385" behindDoc="0" locked="0" layoutInCell="1" allowOverlap="1">
            <wp:simplePos x="0" y="0"/>
            <wp:positionH relativeFrom="page">
              <wp:posOffset>3090545</wp:posOffset>
            </wp:positionH>
            <wp:positionV relativeFrom="paragraph">
              <wp:posOffset>202565</wp:posOffset>
            </wp:positionV>
            <wp:extent cx="316865" cy="365760"/>
            <wp:wrapTopAndBottom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3486785</wp:posOffset>
                </wp:positionH>
                <wp:positionV relativeFrom="paragraph">
                  <wp:posOffset>272415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4.55000000000001pt;margin-top:21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03835" distL="0" distR="0" simplePos="0" relativeHeight="125829386" behindDoc="0" locked="0" layoutInCell="1" allowOverlap="1">
                <wp:simplePos x="0" y="0"/>
                <wp:positionH relativeFrom="page">
                  <wp:posOffset>6099175</wp:posOffset>
                </wp:positionH>
                <wp:positionV relativeFrom="paragraph">
                  <wp:posOffset>114300</wp:posOffset>
                </wp:positionV>
                <wp:extent cx="1118870" cy="25019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80.25pt;margin-top:9.pt;width:88.100000000000009pt;height:19.699999999999999pt;z-index:-125829367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Мацнева Мария Олеговна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00FDA1C988AAB27A9A34756B8D5F1D853</w:t>
      </w:r>
      <w:r>
        <w:rPr>
          <w:rStyle w:val="CharStyle20"/>
          <w:lang w:val="en-US" w:eastAsia="en-US"/>
        </w:rPr>
        <w:t>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500"/>
        <w:jc w:val="lef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3091180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3487420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4.60000000000002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ГЕЛМУТДИНОВА АНАСТАСИЯ СЕРГЕЕВНА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</w:rPr>
        <w:t>723501СС21703599976371</w:t>
      </w:r>
      <w:r>
        <w:rPr>
          <w:rStyle w:val="CharStyle20"/>
          <w:lang w:val="en-US" w:eastAsia="en-US"/>
        </w:rPr>
        <w:t>4F5C652689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280" w:line="266" w:lineRule="auto"/>
        <w:ind w:right="0" w:firstLine="20"/>
        <w:jc w:val="left"/>
      </w:pPr>
      <w:r>
        <w:rPr>
          <w:rStyle w:val="CharStyle20"/>
        </w:rPr>
        <w:t xml:space="preserve">Действителен с 09.02.2026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05.05.2027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31" w:right="551" w:bottom="143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2026-23817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49999999999999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2026-23817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066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2026-23817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7.8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2026-23817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2026-23817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149999999999999pt;margin-top:794.70000000000005pt;width:57.100000000000001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2026-23817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370205</wp:posOffset>
              </wp:positionV>
              <wp:extent cx="6985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0000000000003pt;margin-top:29.150000000000002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69850" cy="6985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pt;margin-top:40.100000000000001pt;width:5.5pt;height:5.5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370205</wp:posOffset>
              </wp:positionV>
              <wp:extent cx="69850" cy="698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8.90000000000003pt;margin-top:29.150000000000002pt;width:5.5pt;height:5.5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7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