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5.05.2026</w:t>
      </w:r>
      <w:r>
        <w:fldChar w:fldCharType="end"/>
      </w:r>
      <w:r>
        <w:rPr>
          <w:rStyle w:val="CharStyle10"/>
        </w:rPr>
        <w:tab/>
        <w:t>№ 20561/26</w:t>
      </w:r>
      <w:bookmarkEnd w:id="0"/>
    </w:p>
    <w:p>
      <w:pPr>
        <w:pStyle w:val="Style11"/>
        <w:keepNext w:val="0"/>
        <w:keepLines w:val="0"/>
        <w:widowControl w:val="0"/>
        <w:shd w:val="clear" w:color="auto" w:fill="auto"/>
        <w:bidi w:val="0"/>
        <w:spacing w:before="0" w:after="200" w:line="211" w:lineRule="auto"/>
        <w:ind w:left="0" w:right="0" w:firstLine="0"/>
        <w:jc w:val="left"/>
      </w:pPr>
      <w:r>
        <w:rPr>
          <w:rStyle w:val="CharStyle12"/>
        </w:rPr>
        <w:t xml:space="preserve">ГБУЗ «ГКБ им. С.С. Юдина ДЗМ» </w:t>
      </w:r>
      <w:r>
        <w:fldChar w:fldCharType="begin"/>
      </w:r>
      <w:r>
        <w:rPr/>
        <w:instrText> HYPERLINK "mailto:gkb-yudina@zdrav.mos.ru" </w:instrText>
      </w:r>
      <w:r>
        <w:fldChar w:fldCharType="separate"/>
      </w:r>
      <w:r>
        <w:rPr>
          <w:rStyle w:val="CharStyle12"/>
          <w:lang w:val="en-US" w:eastAsia="en-US"/>
        </w:rPr>
        <w:t>gkb-yudina@zdrav.mos.ru</w:t>
      </w:r>
      <w:r>
        <w:fldChar w:fldCharType="end"/>
      </w:r>
    </w:p>
    <w:p>
      <w:pPr>
        <w:pStyle w:val="Style11"/>
        <w:keepNext w:val="0"/>
        <w:keepLines w:val="0"/>
        <w:widowControl w:val="0"/>
        <w:shd w:val="clear" w:color="auto" w:fill="auto"/>
        <w:bidi w:val="0"/>
        <w:spacing w:before="0" w:after="0" w:line="211" w:lineRule="auto"/>
        <w:ind w:left="0" w:right="0" w:firstLine="0"/>
        <w:jc w:val="left"/>
      </w:pPr>
      <w:r>
        <w:rPr>
          <w:rStyle w:val="CharStyle12"/>
        </w:rPr>
        <w:t>ООО «Высота»</w:t>
      </w:r>
    </w:p>
    <w:p>
      <w:pPr>
        <w:pStyle w:val="Style11"/>
        <w:keepNext w:val="0"/>
        <w:keepLines w:val="0"/>
        <w:widowControl w:val="0"/>
        <w:shd w:val="clear" w:color="auto" w:fill="auto"/>
        <w:bidi w:val="0"/>
        <w:spacing w:before="0" w:after="0" w:line="211"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318" w:bottom="708" w:left="1293" w:header="0" w:footer="3" w:gutter="0"/>
          <w:pgNumType w:start="1"/>
          <w:cols w:num="2" w:space="936"/>
          <w:noEndnote/>
          <w:titlePg/>
          <w:rtlGutter w:val="0"/>
          <w:docGrid w:linePitch="360"/>
        </w:sectPr>
      </w:pPr>
      <w:r>
        <w:fldChar w:fldCharType="begin"/>
      </w:r>
      <w:r>
        <w:rPr/>
        <w:instrText> HYPERLINK "mailto:v-med2025@yandex.ru" </w:instrText>
      </w:r>
      <w:r>
        <w:fldChar w:fldCharType="separate"/>
      </w:r>
      <w:r>
        <w:rPr>
          <w:rStyle w:val="CharStyle12"/>
          <w:lang w:val="en-US" w:eastAsia="en-US"/>
        </w:rPr>
        <w:t>v-med2025@yandex.ru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5" w:left="0" w:header="0" w:footer="3" w:gutter="0"/>
          <w:cols w:space="720"/>
          <w:noEndnote/>
          <w:rtlGutter w:val="0"/>
          <w:docGrid w:linePitch="360"/>
        </w:sectPr>
      </w:pPr>
    </w:p>
    <w:p>
      <w:pPr>
        <w:widowControl w:val="0"/>
        <w:spacing w:after="335" w:line="1" w:lineRule="exact"/>
      </w:pPr>
      <w:r>
        <w:drawing>
          <wp:anchor distT="0" distB="0" distL="0" distR="0" simplePos="0" relativeHeight="62914696" behindDoc="1" locked="0" layoutInCell="1" allowOverlap="1">
            <wp:simplePos x="0" y="0"/>
            <wp:positionH relativeFrom="page">
              <wp:posOffset>708660</wp:posOffset>
            </wp:positionH>
            <wp:positionV relativeFrom="paragraph">
              <wp:posOffset>12700</wp:posOffset>
            </wp:positionV>
            <wp:extent cx="219710" cy="21336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219710" cy="213360"/>
                    </a:xfrm>
                    <a:prstGeom prst="rect"/>
                  </pic:spPr>
                </pic:pic>
              </a:graphicData>
            </a:graphic>
          </wp:anchor>
        </w:drawing>
      </w:r>
      <w:r>
        <w:drawing>
          <wp:anchor distT="0" distB="0" distL="0" distR="0" simplePos="0" relativeHeight="62914697" behindDoc="1" locked="0" layoutInCell="1" allowOverlap="1">
            <wp:simplePos x="0" y="0"/>
            <wp:positionH relativeFrom="page">
              <wp:posOffset>3122295</wp:posOffset>
            </wp:positionH>
            <wp:positionV relativeFrom="paragraph">
              <wp:posOffset>12700</wp:posOffset>
            </wp:positionV>
            <wp:extent cx="219710" cy="21336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36" w:bottom="655" w:left="1106" w:header="0" w:footer="3" w:gutter="0"/>
          <w:cols w:space="720"/>
          <w:noEndnote/>
          <w:rtlGutter w:val="0"/>
          <w:docGrid w:linePitch="360"/>
        </w:sectPr>
      </w:pP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26" w:right="0" w:bottom="762"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 xml:space="preserve">по делу </w:t>
      </w:r>
      <w:r>
        <w:rPr>
          <w:rStyle w:val="CharStyle12"/>
          <w:b/>
          <w:bCs/>
          <w:lang w:val="en-US" w:eastAsia="en-US"/>
        </w:rPr>
        <w:t>№ 077/06/105-5859/2026</w:t>
        <w:br/>
      </w:r>
      <w:r>
        <w:rPr>
          <w:rStyle w:val="CharStyle12"/>
          <w:b/>
          <w:bCs/>
        </w:rPr>
        <w:t>о нарушении законодательства о контрактной системе</w:t>
      </w:r>
    </w:p>
    <w:p>
      <w:pPr>
        <w:pStyle w:val="Style11"/>
        <w:keepNext w:val="0"/>
        <w:keepLines w:val="0"/>
        <w:widowControl w:val="0"/>
        <w:shd w:val="clear" w:color="auto" w:fill="auto"/>
        <w:tabs>
          <w:tab w:pos="8947" w:val="left"/>
        </w:tabs>
        <w:bidi w:val="0"/>
        <w:spacing w:before="0" w:after="0" w:line="240" w:lineRule="auto"/>
        <w:ind w:left="0" w:right="0" w:firstLine="0"/>
        <w:jc w:val="both"/>
      </w:pPr>
      <w:r>
        <w:rPr>
          <w:rStyle w:val="CharStyle12"/>
          <w:b/>
          <w:bCs/>
          <w:lang w:val="en-US" w:eastAsia="en-US"/>
        </w:rPr>
        <w:t>12.05.2026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Главного 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ООО «Высота»: Т.А. Дубровкиной (по доверенности </w:t>
      </w:r>
      <w:r>
        <w:rPr>
          <w:rStyle w:val="CharStyle12"/>
          <w:lang w:val="en-US" w:eastAsia="en-US"/>
        </w:rPr>
        <w:t xml:space="preserve">№ </w:t>
      </w:r>
      <w:r>
        <w:rPr>
          <w:rStyle w:val="CharStyle12"/>
        </w:rPr>
        <w:t xml:space="preserve">б/н от </w:t>
      </w:r>
      <w:r>
        <w:rPr>
          <w:rStyle w:val="CharStyle12"/>
          <w:lang w:val="en-US" w:eastAsia="en-US"/>
        </w:rPr>
        <w:t>17.12.2025);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ГБУЗ «ГКБ им. С.С. Юдина ДЗМ»: К.Н. Животова (по доверенности </w:t>
      </w:r>
      <w:r>
        <w:rPr>
          <w:rStyle w:val="CharStyle12"/>
          <w:lang w:val="en-US" w:eastAsia="en-US"/>
        </w:rPr>
        <w:t xml:space="preserve">№ 32 </w:t>
      </w:r>
      <w:r>
        <w:rPr>
          <w:rStyle w:val="CharStyle12"/>
        </w:rPr>
        <w:t xml:space="preserve">от </w:t>
      </w:r>
      <w:r>
        <w:rPr>
          <w:rStyle w:val="CharStyle12"/>
          <w:lang w:val="en-US" w:eastAsia="en-US"/>
        </w:rPr>
        <w:t>01.01.2026);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рассмотрев жалобу ООО «Высота» (далее </w:t>
      </w:r>
      <w:r>
        <w:rPr>
          <w:rStyle w:val="CharStyle12"/>
          <w:lang w:val="en-US" w:eastAsia="en-US"/>
        </w:rPr>
        <w:t xml:space="preserve">— </w:t>
      </w:r>
      <w:r>
        <w:rPr>
          <w:rStyle w:val="CharStyle12"/>
        </w:rPr>
        <w:t xml:space="preserve">Заявитель) на действия ГБУЗ «ГКБ им. С.С. Юдина ДЗМ»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расходных материалов (Загрузочный блок для степлера хирургического, одноразового использования) для оперблока для нужд ГБУЗ «ГКБ им. С. С. Юдина ДЗМ»(00147/15) (Закупка </w:t>
      </w:r>
      <w:r>
        <w:rPr>
          <w:rStyle w:val="CharStyle12"/>
          <w:lang w:val="en-US" w:eastAsia="en-US"/>
        </w:rPr>
        <w:t xml:space="preserve">№ 0373200027426000857) </w:t>
      </w:r>
      <w:r>
        <w:rPr>
          <w:rStyle w:val="CharStyle12"/>
        </w:rPr>
        <w:t xml:space="preserve">(далее </w:t>
      </w:r>
      <w:r>
        <w:rPr>
          <w:rStyle w:val="CharStyle12"/>
          <w:lang w:val="en-US" w:eastAsia="en-US"/>
        </w:rPr>
        <w:t xml:space="preserve">– </w:t>
      </w:r>
      <w:r>
        <w:rPr>
          <w:rStyle w:val="CharStyle12"/>
        </w:rPr>
        <w:t xml:space="preserve">аукцион, электронный аукцион), в соответствии с Федеральным законом от </w:t>
      </w:r>
      <w:r>
        <w:rPr>
          <w:rStyle w:val="CharStyle12"/>
          <w:lang w:val="en-US" w:eastAsia="en-US"/>
        </w:rPr>
        <w:t xml:space="preserve">05.04.2013 </w:t>
      </w:r>
      <w:r>
        <w:rPr>
          <w:rStyle w:val="CharStyle12"/>
        </w:rPr>
        <w:t>№44-ФЗ «О контрактной системе в сфере закупок товаров, работ, услуг для обеспечения</w:t>
      </w:r>
    </w:p>
    <w:p>
      <w:pPr>
        <w:widowControl w:val="0"/>
        <w:spacing w:line="1" w:lineRule="exact"/>
      </w:pPr>
      <w:r>
        <w:drawing>
          <wp:anchor distT="38100" distB="0" distL="0" distR="0" simplePos="0" relativeHeight="125829378" behindDoc="0" locked="0" layoutInCell="1" allowOverlap="1">
            <wp:simplePos x="0" y="0"/>
            <wp:positionH relativeFrom="page">
              <wp:posOffset>717550</wp:posOffset>
            </wp:positionH>
            <wp:positionV relativeFrom="paragraph">
              <wp:posOffset>38100</wp:posOffset>
            </wp:positionV>
            <wp:extent cx="1511935" cy="29273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5"/>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52" w:lineRule="auto"/>
        <w:ind w:left="0" w:right="0" w:firstLine="0"/>
        <w:jc w:val="both"/>
      </w:pPr>
      <w:r>
        <w:rPr>
          <w:rStyle w:val="CharStyle12"/>
        </w:rPr>
        <w:t xml:space="preserve">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80" w:line="252"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На заседании Комиссии Управления Заказчиком представлены документы и сведения, запрашиваемые письмом Московского УФАС России.</w:t>
      </w:r>
    </w:p>
    <w:p>
      <w:pPr>
        <w:pStyle w:val="Style11"/>
        <w:keepNext w:val="0"/>
        <w:keepLines w:val="0"/>
        <w:widowControl w:val="0"/>
        <w:shd w:val="clear" w:color="auto" w:fill="auto"/>
        <w:bidi w:val="0"/>
        <w:spacing w:before="0" w:after="0" w:line="252" w:lineRule="auto"/>
        <w:ind w:left="0" w:right="0" w:firstLine="700"/>
        <w:jc w:val="both"/>
      </w:pPr>
      <w:r>
        <w:rPr>
          <w:rStyle w:val="CharStyle12"/>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11"/>
        <w:keepNext w:val="0"/>
        <w:keepLines w:val="0"/>
        <w:widowControl w:val="0"/>
        <w:shd w:val="clear" w:color="auto" w:fill="auto"/>
        <w:bidi w:val="0"/>
        <w:spacing w:before="0" w:after="0" w:line="252" w:lineRule="auto"/>
        <w:ind w:left="0" w:right="0" w:firstLine="70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52"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1"/>
        </w:numPr>
        <w:shd w:val="clear" w:color="auto" w:fill="auto"/>
        <w:tabs>
          <w:tab w:pos="1082" w:val="left"/>
        </w:tabs>
        <w:bidi w:val="0"/>
        <w:spacing w:before="0" w:after="0" w:line="252" w:lineRule="auto"/>
        <w:ind w:left="0" w:right="0" w:firstLine="700"/>
        <w:jc w:val="both"/>
      </w:pPr>
      <w:r>
        <w:rPr>
          <w:rStyle w:val="CharStyle12"/>
        </w:rPr>
        <w:t>сопровождение такого указания словами «или эквивалент»;</w:t>
      </w:r>
    </w:p>
    <w:p>
      <w:pPr>
        <w:pStyle w:val="Style11"/>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1"/>
        </w:numPr>
        <w:shd w:val="clear" w:color="auto" w:fill="auto"/>
        <w:tabs>
          <w:tab w:pos="1102" w:val="left"/>
        </w:tabs>
        <w:bidi w:val="0"/>
        <w:spacing w:before="0" w:after="0" w:line="252" w:lineRule="auto"/>
        <w:ind w:left="0" w:right="0" w:firstLine="70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280" w:line="252" w:lineRule="auto"/>
        <w:ind w:left="0" w:right="0" w:firstLine="700"/>
        <w:jc w:val="both"/>
      </w:pPr>
      <w:r>
        <w:rPr>
          <w:rStyle w:val="CharStyle12"/>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2"/>
          <w:lang w:val="en-US" w:eastAsia="en-US"/>
        </w:rPr>
        <w:t xml:space="preserve">- </w:t>
      </w:r>
      <w:r>
        <w:rPr>
          <w:rStyle w:val="CharStyle12"/>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w:t>
      </w:r>
    </w:p>
    <w:p>
      <w:pPr>
        <w:pStyle w:val="Style11"/>
        <w:keepNext w:val="0"/>
        <w:keepLines w:val="0"/>
        <w:widowControl w:val="0"/>
        <w:shd w:val="clear" w:color="auto" w:fill="auto"/>
        <w:bidi w:val="0"/>
        <w:spacing w:before="0" w:after="0" w:line="252" w:lineRule="auto"/>
        <w:ind w:left="0" w:right="0" w:firstLine="0"/>
        <w:jc w:val="both"/>
      </w:pPr>
      <w:r>
        <w:rPr>
          <w:rStyle w:val="CharStyle12"/>
        </w:rPr>
        <w:t>минимум двух различных производителей.</w:t>
      </w:r>
    </w:p>
    <w:p>
      <w:pPr>
        <w:pStyle w:val="Style11"/>
        <w:keepNext w:val="0"/>
        <w:keepLines w:val="0"/>
        <w:widowControl w:val="0"/>
        <w:shd w:val="clear" w:color="auto" w:fill="auto"/>
        <w:bidi w:val="0"/>
        <w:spacing w:before="0" w:after="0" w:line="252" w:lineRule="auto"/>
        <w:ind w:left="0" w:right="0" w:firstLine="700"/>
        <w:jc w:val="both"/>
      </w:pPr>
      <w:r>
        <w:rPr>
          <w:rStyle w:val="CharStyle12"/>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Согласно описанию объекта закупки Заказчиком установлены требования к закупаемому товару по пп.1-11 «Загрузочный блок для степлера хирургического, одноразового использования», КТРУ </w:t>
      </w:r>
      <w:r>
        <w:rPr>
          <w:rStyle w:val="CharStyle12"/>
          <w:lang w:val="en-US" w:eastAsia="en-US"/>
        </w:rPr>
        <w:t>32.50.13.190-00008383.</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В составе жалобы Заявитель указывает, что под описание объекта закупки по п. </w:t>
      </w:r>
      <w:r>
        <w:rPr>
          <w:rStyle w:val="CharStyle12"/>
          <w:lang w:val="en-US" w:eastAsia="en-US"/>
        </w:rPr>
        <w:t xml:space="preserve">6 </w:t>
      </w:r>
      <w:r>
        <w:rPr>
          <w:rStyle w:val="CharStyle12"/>
        </w:rPr>
        <w:t xml:space="preserve">«Загрузочный блок для степлера хирургического, одноразового использования» подходит единственный производитель «Би. Джей.Ж.Ф. Пантер Медикал Эквипмент Ко. Лтд </w:t>
      </w:r>
      <w:r>
        <w:rPr>
          <w:rStyle w:val="CharStyle12"/>
          <w:lang w:val="en-US" w:eastAsia="en-US"/>
        </w:rPr>
        <w:t xml:space="preserve">(Panther)» </w:t>
      </w:r>
      <w:r>
        <w:rPr>
          <w:rStyle w:val="CharStyle12"/>
        </w:rPr>
        <w:t xml:space="preserve">с товаром </w:t>
      </w:r>
      <w:r>
        <w:rPr>
          <w:rStyle w:val="CharStyle12"/>
          <w:lang w:val="en-US" w:eastAsia="en-US"/>
        </w:rPr>
        <w:t xml:space="preserve">SADB-60D </w:t>
      </w:r>
      <w:r>
        <w:rPr>
          <w:rStyle w:val="CharStyle12"/>
        </w:rPr>
        <w:t xml:space="preserve">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 xml:space="preserve">2013/643 </w:t>
      </w:r>
      <w:r>
        <w:rPr>
          <w:rStyle w:val="CharStyle12"/>
        </w:rPr>
        <w:t xml:space="preserve">от </w:t>
      </w:r>
      <w:r>
        <w:rPr>
          <w:rStyle w:val="CharStyle12"/>
          <w:lang w:val="en-US" w:eastAsia="en-US"/>
        </w:rPr>
        <w:t>22.12.2025.</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При этом, по мнению Заявителя, ограничивающей характеристикой для поставки товаров иных производителей является «Длина скобочного шва </w:t>
      </w:r>
      <w:r>
        <w:rPr>
          <w:rStyle w:val="CharStyle12"/>
          <w:lang w:val="en-US" w:eastAsia="en-US"/>
        </w:rPr>
        <w:t xml:space="preserve">≥ 62 </w:t>
      </w:r>
      <w:r>
        <w:rPr>
          <w:rStyle w:val="CharStyle12"/>
        </w:rPr>
        <w:t xml:space="preserve">и </w:t>
      </w:r>
      <w:r>
        <w:rPr>
          <w:rStyle w:val="CharStyle12"/>
          <w:lang w:val="en-US" w:eastAsia="en-US"/>
        </w:rPr>
        <w:t xml:space="preserve">≤ 64 </w:t>
      </w:r>
      <w:r>
        <w:rPr>
          <w:rStyle w:val="CharStyle12"/>
        </w:rPr>
        <w:t>Миллиметр». Участник закупки указывает в заявке конкретное значение характеристики.</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Только производители </w:t>
      </w:r>
      <w:r>
        <w:rPr>
          <w:rStyle w:val="CharStyle12"/>
          <w:lang w:val="en-US" w:eastAsia="en-US"/>
        </w:rPr>
        <w:t xml:space="preserve">«Panther» </w:t>
      </w:r>
      <w:r>
        <w:rPr>
          <w:rStyle w:val="CharStyle12"/>
        </w:rPr>
        <w:t xml:space="preserve">и Цзянсу Брайтнесс Медикал Девайсес Ко., Лтд </w:t>
      </w:r>
      <w:r>
        <w:rPr>
          <w:rStyle w:val="CharStyle12"/>
          <w:lang w:val="en-US" w:eastAsia="en-US"/>
        </w:rPr>
        <w:t xml:space="preserve">(Brightness, </w:t>
      </w:r>
      <w:r>
        <w:rPr>
          <w:rStyle w:val="CharStyle12"/>
        </w:rPr>
        <w:t xml:space="preserve">товар </w:t>
      </w:r>
      <w:r>
        <w:rPr>
          <w:rStyle w:val="CharStyle12"/>
          <w:lang w:val="en-US" w:eastAsia="en-US"/>
        </w:rPr>
        <w:t xml:space="preserve">QB604)» </w:t>
      </w:r>
      <w:r>
        <w:rPr>
          <w:rStyle w:val="CharStyle12"/>
        </w:rPr>
        <w:t xml:space="preserve">имеют длину скобочного шва </w:t>
      </w:r>
      <w:r>
        <w:rPr>
          <w:rStyle w:val="CharStyle12"/>
          <w:lang w:val="en-US" w:eastAsia="en-US"/>
        </w:rPr>
        <w:t xml:space="preserve">64 </w:t>
      </w:r>
      <w:r>
        <w:rPr>
          <w:rStyle w:val="CharStyle12"/>
        </w:rPr>
        <w:t xml:space="preserve">мм </w:t>
      </w:r>
      <w:r>
        <w:rPr>
          <w:rStyle w:val="CharStyle12"/>
          <w:lang w:val="en-US" w:eastAsia="en-US"/>
        </w:rPr>
        <w:t xml:space="preserve">(Panther) </w:t>
      </w:r>
      <w:r>
        <w:rPr>
          <w:rStyle w:val="CharStyle12"/>
        </w:rPr>
        <w:t xml:space="preserve">и </w:t>
      </w:r>
      <w:r>
        <w:rPr>
          <w:rStyle w:val="CharStyle12"/>
          <w:lang w:val="en-US" w:eastAsia="en-US"/>
        </w:rPr>
        <w:t xml:space="preserve">63 </w:t>
      </w:r>
      <w:r>
        <w:rPr>
          <w:rStyle w:val="CharStyle12"/>
        </w:rPr>
        <w:t xml:space="preserve">мм </w:t>
      </w:r>
      <w:r>
        <w:rPr>
          <w:rStyle w:val="CharStyle12"/>
          <w:lang w:val="en-US" w:eastAsia="en-US"/>
        </w:rPr>
        <w:t xml:space="preserve">(Brightness), </w:t>
      </w:r>
      <w:r>
        <w:rPr>
          <w:rStyle w:val="CharStyle12"/>
        </w:rPr>
        <w:t xml:space="preserve">при этом производитель </w:t>
      </w:r>
      <w:r>
        <w:rPr>
          <w:rStyle w:val="CharStyle12"/>
          <w:lang w:val="en-US" w:eastAsia="en-US"/>
        </w:rPr>
        <w:t xml:space="preserve">Brightness </w:t>
      </w:r>
      <w:r>
        <w:rPr>
          <w:rStyle w:val="CharStyle12"/>
        </w:rPr>
        <w:t>не соответствует характеристике «Материал скобы Титан», у данного производителя Титановый сплав.</w:t>
      </w:r>
    </w:p>
    <w:p>
      <w:pPr>
        <w:pStyle w:val="Style11"/>
        <w:keepNext w:val="0"/>
        <w:keepLines w:val="0"/>
        <w:widowControl w:val="0"/>
        <w:shd w:val="clear" w:color="auto" w:fill="auto"/>
        <w:bidi w:val="0"/>
        <w:spacing w:before="0" w:after="0" w:line="252" w:lineRule="auto"/>
        <w:ind w:left="0" w:right="0" w:firstLine="700"/>
        <w:jc w:val="both"/>
      </w:pPr>
      <w:r>
        <w:rPr>
          <w:rStyle w:val="CharStyle12"/>
        </w:rPr>
        <w:t>При этом в составе жалобы Заявителем указано, в том числе на товар:</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Инструменты хирургические сшивающие с принадлежностями, производителя «Пресижин (Чанчжоу) Медикал Инструментс Ко., Лтд.», 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 xml:space="preserve">2013/50 </w:t>
      </w:r>
      <w:r>
        <w:rPr>
          <w:rStyle w:val="CharStyle12"/>
        </w:rPr>
        <w:t xml:space="preserve">от </w:t>
      </w:r>
      <w:r>
        <w:rPr>
          <w:rStyle w:val="CharStyle12"/>
          <w:lang w:val="en-US" w:eastAsia="en-US"/>
        </w:rPr>
        <w:t xml:space="preserve">15.03.2013 </w:t>
      </w:r>
      <w:r>
        <w:rPr>
          <w:rStyle w:val="CharStyle12"/>
        </w:rPr>
        <w:t>с указанием на то, что данный товар не подходит по характеристике «Материал скобы: Титан», так как для данного товара материалом скобы является титановый сплав.</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Комиссия Управления отмечает, что в силу ч.4 ст.38 Федерального закона «Об основах охраны здоровья граждан в Российской Федерации» от </w:t>
      </w:r>
      <w:r>
        <w:rPr>
          <w:rStyle w:val="CharStyle12"/>
          <w:lang w:val="en-US" w:eastAsia="en-US"/>
        </w:rPr>
        <w:t xml:space="preserve">21.11.2011 №323- </w:t>
      </w:r>
      <w:r>
        <w:rPr>
          <w:rStyle w:val="CharStyle12"/>
        </w:rPr>
        <w:t xml:space="preserve">ФЗ (далее </w:t>
      </w:r>
      <w:r>
        <w:rPr>
          <w:rStyle w:val="CharStyle12"/>
          <w:lang w:val="en-US" w:eastAsia="en-US"/>
        </w:rPr>
        <w:t xml:space="preserve">— </w:t>
      </w:r>
      <w:r>
        <w:rPr>
          <w:rStyle w:val="CharStyle12"/>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w:t>
      </w:r>
    </w:p>
    <w:p>
      <w:pPr>
        <w:pStyle w:val="Style11"/>
        <w:keepNext w:val="0"/>
        <w:keepLines w:val="0"/>
        <w:widowControl w:val="0"/>
        <w:shd w:val="clear" w:color="auto" w:fill="auto"/>
        <w:bidi w:val="0"/>
        <w:spacing w:before="0" w:after="40" w:line="228" w:lineRule="auto"/>
        <w:ind w:left="0" w:right="0" w:firstLine="0"/>
        <w:jc w:val="both"/>
      </w:pPr>
      <w:r>
        <w:rPr>
          <w:rStyle w:val="CharStyle12"/>
        </w:rPr>
        <w:t>экономического союза.</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П.1 Постановления Правительства РФ от </w:t>
      </w:r>
      <w:r>
        <w:rPr>
          <w:rStyle w:val="CharStyle12"/>
          <w:lang w:val="en-US" w:eastAsia="en-US"/>
        </w:rPr>
        <w:t xml:space="preserve">30.11.2024 №1684 </w:t>
      </w:r>
      <w:r>
        <w:rPr>
          <w:rStyle w:val="CharStyle12"/>
        </w:rPr>
        <w:t xml:space="preserve">«Об утверждении Правил государственной регистрации медицинских изделий»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№1684) </w:t>
      </w:r>
      <w:r>
        <w:rPr>
          <w:rStyle w:val="CharStyle12"/>
        </w:rPr>
        <w:t xml:space="preserve">утверждены Правила государственной регистрации медицинских изделий (далее </w:t>
      </w:r>
      <w:r>
        <w:rPr>
          <w:rStyle w:val="CharStyle12"/>
          <w:lang w:val="en-US" w:eastAsia="en-US"/>
        </w:rPr>
        <w:t xml:space="preserve">— </w:t>
      </w:r>
      <w:r>
        <w:rPr>
          <w:rStyle w:val="CharStyle12"/>
        </w:rPr>
        <w:t>Правила).</w:t>
      </w:r>
    </w:p>
    <w:p>
      <w:pPr>
        <w:pStyle w:val="Style11"/>
        <w:keepNext w:val="0"/>
        <w:keepLines w:val="0"/>
        <w:widowControl w:val="0"/>
        <w:shd w:val="clear" w:color="auto" w:fill="auto"/>
        <w:bidi w:val="0"/>
        <w:spacing w:before="0" w:after="0" w:line="228" w:lineRule="auto"/>
        <w:ind w:left="0" w:right="0" w:firstLine="580"/>
        <w:jc w:val="both"/>
      </w:pPr>
      <w:r>
        <w:rPr>
          <w:rStyle w:val="CharStyle12"/>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2"/>
          <w:lang w:val="en-US" w:eastAsia="en-US"/>
        </w:rPr>
        <w:t xml:space="preserve">- </w:t>
      </w:r>
      <w:r>
        <w:rPr>
          <w:rStyle w:val="CharStyle12"/>
        </w:rPr>
        <w:t>реестровая запись).</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Вместе с этим п.2 Постановления </w:t>
      </w:r>
      <w:r>
        <w:rPr>
          <w:rStyle w:val="CharStyle12"/>
          <w:lang w:val="en-US" w:eastAsia="en-US"/>
        </w:rPr>
        <w:t xml:space="preserve">№1684 </w:t>
      </w:r>
      <w:r>
        <w:rPr>
          <w:rStyle w:val="CharStyle12"/>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2"/>
          <w:lang w:val="en-US" w:eastAsia="en-US"/>
        </w:rPr>
        <w:t>№1684.</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2"/>
          <w:lang w:val="en-US" w:eastAsia="en-US"/>
        </w:rPr>
        <w:t xml:space="preserve">№1684, </w:t>
      </w:r>
      <w:r>
        <w:rPr>
          <w:rStyle w:val="CharStyle12"/>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Постановлением Правительства Российской Федерации от </w:t>
      </w:r>
      <w:r>
        <w:rPr>
          <w:rStyle w:val="CharStyle12"/>
          <w:lang w:val="en-US" w:eastAsia="en-US"/>
        </w:rPr>
        <w:t xml:space="preserve">27.12.2012 № 1416 </w:t>
      </w:r>
      <w:r>
        <w:rPr>
          <w:rStyle w:val="CharStyle12"/>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2"/>
          <w:lang w:val="en-US" w:eastAsia="en-US"/>
        </w:rPr>
        <w:t xml:space="preserve">— </w:t>
      </w:r>
      <w:r>
        <w:rPr>
          <w:rStyle w:val="CharStyle12"/>
        </w:rPr>
        <w:t xml:space="preserve">Правила от </w:t>
      </w:r>
      <w:r>
        <w:rPr>
          <w:rStyle w:val="CharStyle12"/>
          <w:lang w:val="en-US" w:eastAsia="en-US"/>
        </w:rPr>
        <w:t xml:space="preserve">27.12.2012), </w:t>
      </w:r>
      <w:r>
        <w:rPr>
          <w:rStyle w:val="CharStyle12"/>
        </w:rPr>
        <w:t xml:space="preserve">действующие до дня вступления в силу Постановления </w:t>
      </w:r>
      <w:r>
        <w:rPr>
          <w:rStyle w:val="CharStyle12"/>
          <w:lang w:val="en-US" w:eastAsia="en-US"/>
        </w:rPr>
        <w:t>№1684.</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П.6 Правил от </w:t>
      </w:r>
      <w:r>
        <w:rPr>
          <w:rStyle w:val="CharStyle12"/>
          <w:lang w:val="en-US" w:eastAsia="en-US"/>
        </w:rPr>
        <w:t xml:space="preserve">27.12.2012 </w:t>
      </w:r>
      <w:r>
        <w:rPr>
          <w:rStyle w:val="CharStyle12"/>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2"/>
          <w:lang w:val="en-US" w:eastAsia="en-US"/>
        </w:rPr>
        <w:t xml:space="preserve">№1684, </w:t>
      </w:r>
      <w:r>
        <w:rPr>
          <w:rStyle w:val="CharStyle12"/>
        </w:rPr>
        <w:t xml:space="preserve">в соответствии с Правилами от </w:t>
      </w:r>
      <w:r>
        <w:rPr>
          <w:rStyle w:val="CharStyle12"/>
          <w:lang w:val="en-US" w:eastAsia="en-US"/>
        </w:rPr>
        <w:t>27.12.2012.</w:t>
      </w:r>
    </w:p>
    <w:p>
      <w:pPr>
        <w:pStyle w:val="Style11"/>
        <w:keepNext w:val="0"/>
        <w:keepLines w:val="0"/>
        <w:widowControl w:val="0"/>
        <w:shd w:val="clear" w:color="auto" w:fill="auto"/>
        <w:bidi w:val="0"/>
        <w:spacing w:before="0" w:after="0" w:line="228" w:lineRule="auto"/>
        <w:ind w:left="0" w:right="0" w:firstLine="580"/>
        <w:jc w:val="both"/>
      </w:pPr>
      <w:r>
        <w:rPr>
          <w:rStyle w:val="CharStyle12"/>
        </w:rPr>
        <w:t>Вместе с этим Комиссия Управления отмечает.</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П.4 Правил в том числе установлено, что «эксплуатационная документация производителя (изготовителя) медицинского изделия» </w:t>
      </w:r>
      <w:r>
        <w:rPr>
          <w:rStyle w:val="CharStyle12"/>
          <w:lang w:val="en-US" w:eastAsia="en-US"/>
        </w:rPr>
        <w:t xml:space="preserve">- </w:t>
      </w:r>
      <w:r>
        <w:rPr>
          <w:rStyle w:val="CharStyle12"/>
        </w:rPr>
        <w:t>это 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11"/>
        <w:keepNext w:val="0"/>
        <w:keepLines w:val="0"/>
        <w:widowControl w:val="0"/>
        <w:shd w:val="clear" w:color="auto" w:fill="auto"/>
        <w:bidi w:val="0"/>
        <w:spacing w:before="0" w:after="0" w:line="228" w:lineRule="auto"/>
        <w:ind w:left="0" w:right="0" w:firstLine="580"/>
        <w:jc w:val="both"/>
      </w:pPr>
      <w:r>
        <w:rPr>
          <w:rStyle w:val="CharStyle12"/>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11"/>
        <w:keepNext w:val="0"/>
        <w:keepLines w:val="0"/>
        <w:widowControl w:val="0"/>
        <w:numPr>
          <w:ilvl w:val="0"/>
          <w:numId w:val="3"/>
        </w:numPr>
        <w:shd w:val="clear" w:color="auto" w:fill="auto"/>
        <w:tabs>
          <w:tab w:pos="1010" w:val="left"/>
        </w:tabs>
        <w:bidi w:val="0"/>
        <w:spacing w:before="0" w:after="0" w:line="228" w:lineRule="auto"/>
        <w:ind w:left="0" w:right="0" w:firstLine="580"/>
        <w:jc w:val="both"/>
      </w:pPr>
      <w:r>
        <w:rPr>
          <w:rStyle w:val="CharStyle12"/>
        </w:rPr>
        <w:t>наименование медицинского изделия;</w:t>
      </w:r>
    </w:p>
    <w:p>
      <w:pPr>
        <w:pStyle w:val="Style11"/>
        <w:keepNext w:val="0"/>
        <w:keepLines w:val="0"/>
        <w:widowControl w:val="0"/>
        <w:numPr>
          <w:ilvl w:val="0"/>
          <w:numId w:val="3"/>
        </w:numPr>
        <w:shd w:val="clear" w:color="auto" w:fill="auto"/>
        <w:tabs>
          <w:tab w:pos="1011" w:val="left"/>
        </w:tabs>
        <w:bidi w:val="0"/>
        <w:spacing w:before="0" w:after="0" w:line="226" w:lineRule="auto"/>
        <w:ind w:left="0" w:right="0" w:firstLine="580"/>
        <w:jc w:val="both"/>
      </w:pPr>
      <w:r>
        <w:rPr>
          <w:rStyle w:val="CharStyle12"/>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11"/>
        <w:keepNext w:val="0"/>
        <w:keepLines w:val="0"/>
        <w:widowControl w:val="0"/>
        <w:numPr>
          <w:ilvl w:val="0"/>
          <w:numId w:val="3"/>
        </w:numPr>
        <w:shd w:val="clear" w:color="auto" w:fill="auto"/>
        <w:tabs>
          <w:tab w:pos="1015" w:val="left"/>
        </w:tabs>
        <w:bidi w:val="0"/>
        <w:spacing w:before="0" w:after="0" w:line="226" w:lineRule="auto"/>
        <w:ind w:left="0" w:right="0" w:firstLine="580"/>
        <w:jc w:val="both"/>
      </w:pPr>
      <w:r>
        <w:rPr>
          <w:rStyle w:val="CharStyle12"/>
        </w:rPr>
        <w:t>назначение медицинского изделия, установленное производителем;</w:t>
      </w:r>
    </w:p>
    <w:p>
      <w:pPr>
        <w:pStyle w:val="Style11"/>
        <w:keepNext w:val="0"/>
        <w:keepLines w:val="0"/>
        <w:widowControl w:val="0"/>
        <w:numPr>
          <w:ilvl w:val="0"/>
          <w:numId w:val="3"/>
        </w:numPr>
        <w:shd w:val="clear" w:color="auto" w:fill="auto"/>
        <w:tabs>
          <w:tab w:pos="1010" w:val="left"/>
        </w:tabs>
        <w:bidi w:val="0"/>
        <w:spacing w:before="0" w:after="0" w:line="226" w:lineRule="auto"/>
        <w:ind w:left="0" w:right="0" w:firstLine="580"/>
        <w:jc w:val="both"/>
      </w:pPr>
      <w:r>
        <w:rPr>
          <w:rStyle w:val="CharStyle12"/>
        </w:rPr>
        <w:t>вид медицинского изделия;</w:t>
      </w:r>
    </w:p>
    <w:p>
      <w:pPr>
        <w:pStyle w:val="Style11"/>
        <w:keepNext w:val="0"/>
        <w:keepLines w:val="0"/>
        <w:widowControl w:val="0"/>
        <w:numPr>
          <w:ilvl w:val="0"/>
          <w:numId w:val="3"/>
        </w:numPr>
        <w:shd w:val="clear" w:color="auto" w:fill="auto"/>
        <w:tabs>
          <w:tab w:pos="1010" w:val="left"/>
        </w:tabs>
        <w:bidi w:val="0"/>
        <w:spacing w:before="0" w:after="0" w:line="228" w:lineRule="auto"/>
        <w:ind w:left="0" w:right="0" w:firstLine="580"/>
        <w:jc w:val="both"/>
      </w:pPr>
      <w:r>
        <w:rPr>
          <w:rStyle w:val="CharStyle12"/>
        </w:rPr>
        <w:t>класс потенциального риска применения медицинского изделия;</w:t>
      </w:r>
    </w:p>
    <w:p>
      <w:pPr>
        <w:pStyle w:val="Style11"/>
        <w:keepNext w:val="0"/>
        <w:keepLines w:val="0"/>
        <w:widowControl w:val="0"/>
        <w:numPr>
          <w:ilvl w:val="0"/>
          <w:numId w:val="3"/>
        </w:numPr>
        <w:shd w:val="clear" w:color="auto" w:fill="auto"/>
        <w:tabs>
          <w:tab w:pos="1006" w:val="left"/>
        </w:tabs>
        <w:bidi w:val="0"/>
        <w:spacing w:before="0" w:after="0" w:line="228" w:lineRule="auto"/>
        <w:ind w:left="0" w:right="0" w:firstLine="580"/>
        <w:jc w:val="both"/>
      </w:pPr>
      <w:r>
        <w:rPr>
          <w:rStyle w:val="CharStyle12"/>
        </w:rPr>
        <w:t>код Общероссийского классификатора продукции по видам экономической деятельности;</w:t>
      </w:r>
    </w:p>
    <w:p>
      <w:pPr>
        <w:pStyle w:val="Style11"/>
        <w:keepNext w:val="0"/>
        <w:keepLines w:val="0"/>
        <w:widowControl w:val="0"/>
        <w:numPr>
          <w:ilvl w:val="0"/>
          <w:numId w:val="3"/>
        </w:numPr>
        <w:shd w:val="clear" w:color="auto" w:fill="auto"/>
        <w:tabs>
          <w:tab w:pos="1002" w:val="left"/>
        </w:tabs>
        <w:bidi w:val="0"/>
        <w:spacing w:before="0" w:after="0" w:line="228" w:lineRule="auto"/>
        <w:ind w:left="0" w:right="0" w:firstLine="580"/>
        <w:jc w:val="both"/>
      </w:pPr>
      <w:r>
        <w:rPr>
          <w:rStyle w:val="CharStyle12"/>
        </w:rPr>
        <w:t xml:space="preserve">наименование и место нахождения юридического лица </w:t>
      </w:r>
      <w:r>
        <w:rPr>
          <w:rStyle w:val="CharStyle12"/>
          <w:lang w:val="en-US" w:eastAsia="en-US"/>
        </w:rPr>
        <w:t xml:space="preserve">- </w:t>
      </w:r>
      <w:r>
        <w:rPr>
          <w:rStyle w:val="CharStyle12"/>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2"/>
          <w:lang w:val="en-US" w:eastAsia="en-US"/>
        </w:rPr>
        <w:t xml:space="preserve">- </w:t>
      </w:r>
      <w:r>
        <w:rPr>
          <w:rStyle w:val="CharStyle12"/>
        </w:rPr>
        <w:t>уполномоченного представителя производителя (изготовителя) медицинского изделия;</w:t>
      </w:r>
    </w:p>
    <w:p>
      <w:pPr>
        <w:pStyle w:val="Style11"/>
        <w:keepNext w:val="0"/>
        <w:keepLines w:val="0"/>
        <w:widowControl w:val="0"/>
        <w:numPr>
          <w:ilvl w:val="0"/>
          <w:numId w:val="3"/>
        </w:numPr>
        <w:shd w:val="clear" w:color="auto" w:fill="auto"/>
        <w:tabs>
          <w:tab w:pos="1002" w:val="left"/>
        </w:tabs>
        <w:bidi w:val="0"/>
        <w:spacing w:before="0" w:after="0" w:line="228" w:lineRule="auto"/>
        <w:ind w:left="0" w:right="0" w:firstLine="580"/>
        <w:jc w:val="both"/>
      </w:pPr>
      <w:r>
        <w:rPr>
          <w:rStyle w:val="CharStyle12"/>
        </w:rPr>
        <w:t xml:space="preserve">наименование и место нахождения организации </w:t>
      </w:r>
      <w:r>
        <w:rPr>
          <w:rStyle w:val="CharStyle12"/>
          <w:lang w:val="en-US" w:eastAsia="en-US"/>
        </w:rPr>
        <w:t xml:space="preserve">- </w:t>
      </w:r>
      <w:r>
        <w:rPr>
          <w:rStyle w:val="CharStyle12"/>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2"/>
          <w:lang w:val="en-US" w:eastAsia="en-US"/>
        </w:rPr>
        <w:t xml:space="preserve">- </w:t>
      </w:r>
      <w:r>
        <w:rPr>
          <w:rStyle w:val="CharStyle12"/>
        </w:rPr>
        <w:t>производителя (изготовителя) медицинского изделия;</w:t>
      </w:r>
    </w:p>
    <w:p>
      <w:pPr>
        <w:pStyle w:val="Style11"/>
        <w:keepNext w:val="0"/>
        <w:keepLines w:val="0"/>
        <w:widowControl w:val="0"/>
        <w:numPr>
          <w:ilvl w:val="0"/>
          <w:numId w:val="3"/>
        </w:numPr>
        <w:shd w:val="clear" w:color="auto" w:fill="auto"/>
        <w:tabs>
          <w:tab w:pos="1015" w:val="left"/>
        </w:tabs>
        <w:bidi w:val="0"/>
        <w:spacing w:before="0" w:after="0" w:line="228" w:lineRule="auto"/>
        <w:ind w:left="0" w:right="0" w:firstLine="580"/>
        <w:jc w:val="both"/>
      </w:pPr>
      <w:r>
        <w:rPr>
          <w:rStyle w:val="CharStyle12"/>
        </w:rPr>
        <w:t>адрес места производства или изготовления медицинского изделия;</w:t>
      </w:r>
    </w:p>
    <w:p>
      <w:pPr>
        <w:pStyle w:val="Style11"/>
        <w:keepNext w:val="0"/>
        <w:keepLines w:val="0"/>
        <w:widowControl w:val="0"/>
        <w:numPr>
          <w:ilvl w:val="0"/>
          <w:numId w:val="3"/>
        </w:numPr>
        <w:shd w:val="clear" w:color="auto" w:fill="auto"/>
        <w:tabs>
          <w:tab w:pos="1154" w:val="left"/>
        </w:tabs>
        <w:bidi w:val="0"/>
        <w:spacing w:before="0" w:after="0" w:line="228" w:lineRule="auto"/>
        <w:ind w:left="0" w:right="0" w:firstLine="580"/>
        <w:jc w:val="both"/>
      </w:pPr>
      <w:r>
        <w:rPr>
          <w:rStyle w:val="CharStyle12"/>
        </w:rPr>
        <w:t>сведения о взаимозаменяемых медицинских изделиях;</w:t>
      </w:r>
    </w:p>
    <w:p>
      <w:pPr>
        <w:pStyle w:val="Style11"/>
        <w:keepNext w:val="0"/>
        <w:keepLines w:val="0"/>
        <w:widowControl w:val="0"/>
        <w:numPr>
          <w:ilvl w:val="0"/>
          <w:numId w:val="3"/>
        </w:numPr>
        <w:shd w:val="clear" w:color="auto" w:fill="auto"/>
        <w:tabs>
          <w:tab w:pos="1145" w:val="left"/>
        </w:tabs>
        <w:bidi w:val="0"/>
        <w:spacing w:before="0" w:after="0" w:line="228" w:lineRule="auto"/>
        <w:ind w:left="0" w:right="0" w:firstLine="580"/>
        <w:jc w:val="both"/>
      </w:pPr>
      <w:r>
        <w:rPr>
          <w:rStyle w:val="CharStyle12"/>
        </w:rPr>
        <w:t>иные сведения, определяемые Правительством Российской Федерации.</w:t>
      </w:r>
    </w:p>
    <w:p>
      <w:pPr>
        <w:pStyle w:val="Style11"/>
        <w:keepNext w:val="0"/>
        <w:keepLines w:val="0"/>
        <w:widowControl w:val="0"/>
        <w:shd w:val="clear" w:color="auto" w:fill="auto"/>
        <w:bidi w:val="0"/>
        <w:spacing w:before="0" w:after="0" w:line="228" w:lineRule="auto"/>
        <w:ind w:left="0" w:right="0" w:firstLine="580"/>
        <w:jc w:val="both"/>
      </w:pPr>
      <w:r>
        <w:rPr>
          <w:rStyle w:val="CharStyle12"/>
        </w:rPr>
        <w:t xml:space="preserve">В силу пп.«н»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2"/>
          <w:lang w:val="en-US" w:eastAsia="en-US"/>
        </w:rPr>
        <w:t xml:space="preserve">- </w:t>
      </w:r>
      <w:r>
        <w:rPr>
          <w:rStyle w:val="CharStyle12"/>
        </w:rPr>
        <w:t>Правила ведения</w:t>
      </w:r>
    </w:p>
    <w:p>
      <w:pPr>
        <w:pStyle w:val="Style11"/>
        <w:keepNext w:val="0"/>
        <w:keepLines w:val="0"/>
        <w:widowControl w:val="0"/>
        <w:shd w:val="clear" w:color="auto" w:fill="auto"/>
        <w:bidi w:val="0"/>
        <w:spacing w:before="0" w:after="0" w:line="228" w:lineRule="auto"/>
        <w:ind w:left="0" w:right="0" w:firstLine="0"/>
        <w:jc w:val="both"/>
      </w:pPr>
      <w:r>
        <w:rPr>
          <w:rStyle w:val="CharStyle12"/>
        </w:rPr>
        <w:t xml:space="preserve">государственного реестра медицинских изделий), утвержденных п.1 Постановления Правительства РФ от </w:t>
      </w:r>
      <w:r>
        <w:rPr>
          <w:rStyle w:val="CharStyle12"/>
          <w:lang w:val="en-US" w:eastAsia="en-US"/>
        </w:rPr>
        <w:t xml:space="preserve">30.09.2021 №1650 </w:t>
      </w:r>
      <w:r>
        <w:rPr>
          <w:rStyle w:val="CharStyle12"/>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2"/>
          <w:lang w:val="en-US" w:eastAsia="en-US"/>
        </w:rPr>
        <w:t xml:space="preserve">1, 2 </w:t>
      </w:r>
      <w:r>
        <w:rPr>
          <w:rStyle w:val="CharStyle12"/>
        </w:rPr>
        <w:t xml:space="preserve">и </w:t>
      </w:r>
      <w:r>
        <w:rPr>
          <w:rStyle w:val="CharStyle12"/>
          <w:lang w:val="en-US" w:eastAsia="en-US"/>
        </w:rPr>
        <w:t xml:space="preserve">3 </w:t>
      </w:r>
      <w:r>
        <w:rPr>
          <w:rStyle w:val="CharStyle12"/>
        </w:rPr>
        <w:t xml:space="preserve">статьи </w:t>
      </w:r>
      <w:r>
        <w:rPr>
          <w:rStyle w:val="CharStyle12"/>
          <w:lang w:val="en-US" w:eastAsia="en-US"/>
        </w:rPr>
        <w:t xml:space="preserve">15 </w:t>
      </w:r>
      <w:r>
        <w:rPr>
          <w:rStyle w:val="CharStyle12"/>
        </w:rPr>
        <w:t xml:space="preserve">Федерального закона «Об обязательных требованиях в Российской Федерации» (далее </w:t>
      </w:r>
      <w:r>
        <w:rPr>
          <w:rStyle w:val="CharStyle12"/>
          <w:lang w:val="en-US" w:eastAsia="en-US"/>
        </w:rPr>
        <w:t xml:space="preserve">- </w:t>
      </w:r>
      <w:r>
        <w:rPr>
          <w:rStyle w:val="CharStyle12"/>
        </w:rPr>
        <w:t>Правил ведения государственного реестра медицинских изделий) содержит электронный образ эксплуатационной документации производителя (изготовителя) на медицинское изделие.</w:t>
      </w:r>
    </w:p>
    <w:p>
      <w:pPr>
        <w:pStyle w:val="Style11"/>
        <w:keepNext w:val="0"/>
        <w:keepLines w:val="0"/>
        <w:widowControl w:val="0"/>
        <w:shd w:val="clear" w:color="auto" w:fill="auto"/>
        <w:bidi w:val="0"/>
        <w:spacing w:before="0" w:after="0" w:line="228" w:lineRule="auto"/>
        <w:ind w:left="0" w:right="0" w:firstLine="580"/>
        <w:jc w:val="both"/>
      </w:pPr>
      <w:r>
        <w:rPr>
          <w:rStyle w:val="CharStyle12"/>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11"/>
        <w:keepNext w:val="0"/>
        <w:keepLines w:val="0"/>
        <w:widowControl w:val="0"/>
        <w:shd w:val="clear" w:color="auto" w:fill="auto"/>
        <w:bidi w:val="0"/>
        <w:spacing w:before="0" w:after="0" w:line="252"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На заседании Комиссии Управления представитель Заказчика пояснил, что на основании сведений из эксплуатационной документации на медицинское изделие «Инструменты хирургические сшивающие с принадлежностями», производителя «Пресижин (Чанчжоу) Медикал Инструментс Ко., Лтд.», 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 xml:space="preserve">2013/50 </w:t>
      </w:r>
      <w:r>
        <w:rPr>
          <w:rStyle w:val="CharStyle12"/>
        </w:rPr>
        <w:t xml:space="preserve">от </w:t>
      </w:r>
      <w:r>
        <w:rPr>
          <w:rStyle w:val="CharStyle12"/>
          <w:lang w:val="en-US" w:eastAsia="en-US"/>
        </w:rPr>
        <w:t xml:space="preserve">15.03.2013 </w:t>
      </w:r>
      <w:r>
        <w:rPr>
          <w:rStyle w:val="CharStyle12"/>
        </w:rPr>
        <w:t xml:space="preserve">длина наложения шва составляет </w:t>
      </w:r>
      <w:r>
        <w:rPr>
          <w:rStyle w:val="CharStyle12"/>
          <w:lang w:val="en-US" w:eastAsia="en-US"/>
        </w:rPr>
        <w:t xml:space="preserve">62 </w:t>
      </w:r>
      <w:r>
        <w:rPr>
          <w:rStyle w:val="CharStyle12"/>
        </w:rPr>
        <w:t>миллиметра, а материалом скрепок является титан, что соответствует описанию объекта закупки по оспариваемой позиции.</w:t>
      </w:r>
    </w:p>
    <w:p>
      <w:pPr>
        <w:pStyle w:val="Style11"/>
        <w:keepNext w:val="0"/>
        <w:keepLines w:val="0"/>
        <w:widowControl w:val="0"/>
        <w:shd w:val="clear" w:color="auto" w:fill="auto"/>
        <w:bidi w:val="0"/>
        <w:spacing w:before="0" w:after="0" w:line="252" w:lineRule="auto"/>
        <w:ind w:left="0" w:right="0" w:firstLine="700"/>
        <w:jc w:val="both"/>
      </w:pPr>
      <w:r>
        <w:rPr>
          <w:rStyle w:val="CharStyle12"/>
        </w:rPr>
        <w:t>На заседании Комиссии Управления представитель Заявителя согласился с вышеуказанным утверждениям представителя Заказчика.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Ввиду вышеизложенного у Комиссии Управления отсутствуют правовые основания считать Заказчика нарушившим положения Закона о контрактной системе, так как к поставке по оспариваемой позиции возможно предложить товары, как минимум двух производителей.</w:t>
      </w:r>
    </w:p>
    <w:p>
      <w:pPr>
        <w:pStyle w:val="Style11"/>
        <w:keepNext w:val="0"/>
        <w:keepLines w:val="0"/>
        <w:widowControl w:val="0"/>
        <w:shd w:val="clear" w:color="auto" w:fill="auto"/>
        <w:bidi w:val="0"/>
        <w:spacing w:before="0" w:after="0" w:line="252" w:lineRule="auto"/>
        <w:ind w:left="0" w:right="0" w:firstLine="700"/>
        <w:jc w:val="both"/>
      </w:pPr>
      <w:r>
        <w:rPr>
          <w:rStyle w:val="CharStyle12"/>
        </w:rPr>
        <w:t>Таким образом, Комиссия Управления приходит к выводу, что данные доводы жалобы Заявителя не нашли своего подтверждения и являются необоснованными.</w:t>
      </w:r>
    </w:p>
    <w:p>
      <w:pPr>
        <w:pStyle w:val="Style11"/>
        <w:keepNext w:val="0"/>
        <w:keepLines w:val="0"/>
        <w:widowControl w:val="0"/>
        <w:shd w:val="clear" w:color="auto" w:fill="auto"/>
        <w:bidi w:val="0"/>
        <w:spacing w:before="0" w:after="0" w:line="252"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rPr>
        <w:t>РЕШИЛА:</w:t>
      </w:r>
    </w:p>
    <w:p>
      <w:pPr>
        <w:pStyle w:val="Style11"/>
        <w:keepNext w:val="0"/>
        <w:keepLines w:val="0"/>
        <w:widowControl w:val="0"/>
        <w:numPr>
          <w:ilvl w:val="0"/>
          <w:numId w:val="5"/>
        </w:numPr>
        <w:shd w:val="clear" w:color="auto" w:fill="auto"/>
        <w:tabs>
          <w:tab w:pos="1093" w:val="left"/>
        </w:tabs>
        <w:bidi w:val="0"/>
        <w:spacing w:before="0" w:after="0" w:line="240" w:lineRule="auto"/>
        <w:ind w:left="0" w:right="0" w:firstLine="700"/>
        <w:jc w:val="both"/>
      </w:pPr>
      <w:r>
        <w:rPr>
          <w:rStyle w:val="CharStyle12"/>
        </w:rPr>
        <w:t>Признать жалобу ООО «Высота» на действия ГБУЗ «ГКБ им. С.С. Юдина ДЗМ» необоснованной.</w:t>
      </w:r>
    </w:p>
    <w:p>
      <w:pPr>
        <w:pStyle w:val="Style11"/>
        <w:keepNext w:val="0"/>
        <w:keepLines w:val="0"/>
        <w:widowControl w:val="0"/>
        <w:numPr>
          <w:ilvl w:val="0"/>
          <w:numId w:val="5"/>
        </w:numPr>
        <w:shd w:val="clear" w:color="auto" w:fill="auto"/>
        <w:tabs>
          <w:tab w:pos="1088" w:val="left"/>
        </w:tabs>
        <w:bidi w:val="0"/>
        <w:spacing w:before="0" w:after="300" w:line="240" w:lineRule="auto"/>
        <w:ind w:left="0" w:right="0" w:firstLine="700"/>
        <w:jc w:val="both"/>
      </w:pPr>
      <w:r>
        <w:rPr>
          <w:rStyle w:val="CharStyle12"/>
        </w:rPr>
        <w:t>Снять ограничения на определение поставщика (подрядчика, исполнителя), наложенные Московским УФАС России.</w:t>
      </w:r>
    </w:p>
    <w:p>
      <w:pPr>
        <w:pStyle w:val="Style11"/>
        <w:keepNext w:val="0"/>
        <w:keepLines w:val="0"/>
        <w:widowControl w:val="0"/>
        <w:shd w:val="clear" w:color="auto" w:fill="auto"/>
        <w:bidi w:val="0"/>
        <w:spacing w:before="0" w:after="0" w:line="259"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type w:val="continuous"/>
          <w:pgSz w:w="11900" w:h="16840"/>
          <w:pgMar w:top="626" w:right="541" w:bottom="762" w:left="1101" w:header="0" w:footer="3" w:gutter="0"/>
          <w:cols w:space="720"/>
          <w:noEndnote/>
          <w:rtlGutter w:val="0"/>
          <w:docGrid w:linePitch="360"/>
        </w:sectPr>
      </w:pPr>
      <w:r>
        <mc:AlternateContent>
          <mc:Choice Requires="wps">
            <w:drawing>
              <wp:anchor distT="342900" distB="341630" distL="0" distR="0" simplePos="0" relativeHeight="125829379" behindDoc="0" locked="0" layoutInCell="1" allowOverlap="1">
                <wp:simplePos x="0" y="0"/>
                <wp:positionH relativeFrom="page">
                  <wp:posOffset>739140</wp:posOffset>
                </wp:positionH>
                <wp:positionV relativeFrom="paragraph">
                  <wp:posOffset>342900</wp:posOffset>
                </wp:positionV>
                <wp:extent cx="1844040" cy="252730"/>
                <wp:wrapTopAndBottom/>
                <wp:docPr id="14" name="Shape 14"/>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8.200000000000003pt;margin-top:27.pt;width:145.20000000000002pt;height:19.900000000000002pt;z-index:-125829374;mso-wrap-distance-left:0;mso-wrap-distance-top:27.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407035" distB="0" distL="0" distR="1786255" simplePos="0" relativeHeight="125829381" behindDoc="0" locked="0" layoutInCell="1" allowOverlap="1">
            <wp:simplePos x="0" y="0"/>
            <wp:positionH relativeFrom="page">
              <wp:posOffset>3013075</wp:posOffset>
            </wp:positionH>
            <wp:positionV relativeFrom="paragraph">
              <wp:posOffset>407035</wp:posOffset>
            </wp:positionV>
            <wp:extent cx="359410" cy="53022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7"/>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3473450</wp:posOffset>
                </wp:positionH>
                <wp:positionV relativeFrom="paragraph">
                  <wp:posOffset>821690</wp:posOffset>
                </wp:positionV>
                <wp:extent cx="1283335" cy="100330"/>
                <wp:wrapNone/>
                <wp:docPr id="18" name="Shape 1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73.5pt;margin-top:64.700000000000003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3433445</wp:posOffset>
                </wp:positionH>
                <wp:positionV relativeFrom="paragraph">
                  <wp:posOffset>504825</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0.35000000000002pt;margin-top:39.75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41630" distL="0" distR="0" simplePos="0" relativeHeight="125829382" behindDoc="0" locked="0" layoutInCell="1" allowOverlap="1">
                <wp:simplePos x="0" y="0"/>
                <wp:positionH relativeFrom="page">
                  <wp:posOffset>5838190</wp:posOffset>
                </wp:positionH>
                <wp:positionV relativeFrom="paragraph">
                  <wp:posOffset>342900</wp:posOffset>
                </wp:positionV>
                <wp:extent cx="1356360" cy="252730"/>
                <wp:wrapTopAndBottom/>
                <wp:docPr id="22" name="Shape 22"/>
                <a:graphic xmlns:a="http://schemas.openxmlformats.org/drawingml/2006/main">
                  <a:graphicData uri="http://schemas.microsoft.com/office/word/2010/wordprocessingShape">
                    <wps:wsp>
                      <wps:cNvSpPr txBox="1"/>
                      <wps:spPr>
                        <a:xfrm>
                          <a:ext cx="135636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48" type="#_x0000_t202" style="position:absolute;margin-left:459.69999999999999pt;margin-top:27.pt;width:106.8pt;height:19.900000000000002pt;z-index:-125829371;mso-wrap-distance-left:0;mso-wrap-distance-top:27.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Кутейников Антон Андреевич</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67950889C45403E5BD9EBC88A8D80C0D</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Действителен с 19.05.2025 </w:t>
      </w:r>
      <w:r>
        <w:rPr>
          <w:rStyle w:val="CharStyle18"/>
          <w:color w:val="5E5E5E"/>
        </w:rPr>
        <w:t xml:space="preserve">по </w:t>
      </w:r>
      <w:r>
        <w:rPr>
          <w:rStyle w:val="CharStyle18"/>
        </w:rPr>
        <w:t>12.08.2026</w:t>
      </w:r>
    </w:p>
    <w:p>
      <w:pPr>
        <w:widowControl w:val="0"/>
        <w:spacing w:line="1" w:lineRule="exact"/>
        <w:sectPr>
          <w:footnotePr>
            <w:pos w:val="pageBottom"/>
            <w:numFmt w:val="decimal"/>
            <w:numRestart w:val="continuous"/>
          </w:footnotePr>
          <w:type w:val="continuous"/>
          <w:pgSz w:w="11900" w:h="16840"/>
          <w:pgMar w:top="1158" w:right="546" w:bottom="4902" w:left="1106" w:header="0" w:footer="3" w:gutter="0"/>
          <w:cols w:space="720"/>
          <w:noEndnote/>
          <w:rtlGutter w:val="0"/>
          <w:docGrid w:linePitch="360"/>
        </w:sectPr>
      </w:pPr>
      <w:r>
        <mc:AlternateContent>
          <mc:Choice Requires="wps">
            <w:drawing>
              <wp:anchor distT="114300" distB="344170" distL="0" distR="0" simplePos="0" relativeHeight="125829384" behindDoc="0" locked="0" layoutInCell="1" allowOverlap="1">
                <wp:simplePos x="0" y="0"/>
                <wp:positionH relativeFrom="page">
                  <wp:posOffset>735965</wp:posOffset>
                </wp:positionH>
                <wp:positionV relativeFrom="paragraph">
                  <wp:posOffset>114300</wp:posOffset>
                </wp:positionV>
                <wp:extent cx="1341120" cy="250190"/>
                <wp:wrapTopAndBottom/>
                <wp:docPr id="24" name="Shape 24"/>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wps:txbx>
                      <wps:bodyPr wrap="none" lIns="0" tIns="0" rIns="0" bIns="0">
                        <a:noAutoFit/>
                      </wps:bodyPr>
                    </wps:wsp>
                  </a:graphicData>
                </a:graphic>
              </wp:anchor>
            </w:drawing>
          </mc:Choice>
          <mc:Fallback>
            <w:pict>
              <v:shape id="_x0000_s1050" type="#_x0000_t202" style="position:absolute;margin-left:57.950000000000003pt;margin-top:9.pt;width:105.60000000000001pt;height:19.699999999999999pt;z-index:-125829369;mso-wrap-distance-left:0;mso-wrap-distance-top:9.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v:textbox>
                <w10:wrap type="topAndBottom" anchorx="page"/>
              </v:shape>
            </w:pict>
          </mc:Fallback>
        </mc:AlternateContent>
      </w:r>
      <w:r>
        <w:drawing>
          <wp:anchor distT="190500" distB="0" distL="0" distR="1786255" simplePos="0" relativeHeight="125829386" behindDoc="0" locked="0" layoutInCell="1" allowOverlap="1">
            <wp:simplePos x="0" y="0"/>
            <wp:positionH relativeFrom="page">
              <wp:posOffset>3013075</wp:posOffset>
            </wp:positionH>
            <wp:positionV relativeFrom="paragraph">
              <wp:posOffset>190500</wp:posOffset>
            </wp:positionV>
            <wp:extent cx="359410" cy="518160"/>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3473450</wp:posOffset>
                </wp:positionH>
                <wp:positionV relativeFrom="paragraph">
                  <wp:posOffset>593090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73.5pt;margin-top:46.700000000000003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3433445</wp:posOffset>
                </wp:positionH>
                <wp:positionV relativeFrom="paragraph">
                  <wp:posOffset>275590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0.35000000000002pt;margin-top:21.699999999999999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44170" distL="0" distR="0" simplePos="0" relativeHeight="125829387" behindDoc="0" locked="0" layoutInCell="1" allowOverlap="1">
                <wp:simplePos x="0" y="0"/>
                <wp:positionH relativeFrom="page">
                  <wp:posOffset>6100445</wp:posOffset>
                </wp:positionH>
                <wp:positionV relativeFrom="paragraph">
                  <wp:posOffset>114300</wp:posOffset>
                </wp:positionV>
                <wp:extent cx="1118870" cy="250190"/>
                <wp:wrapTopAndBottom/>
                <wp:docPr id="32" name="Shape 32"/>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М.О. Мацнева</w:t>
                            </w:r>
                          </w:p>
                        </w:txbxContent>
                      </wps:txbx>
                      <wps:bodyPr wrap="none" lIns="0" tIns="0" rIns="0" bIns="0">
                        <a:noAutoFit/>
                      </wps:bodyPr>
                    </wps:wsp>
                  </a:graphicData>
                </a:graphic>
              </wp:anchor>
            </w:drawing>
          </mc:Choice>
          <mc:Fallback>
            <w:pict>
              <v:shape id="_x0000_s1058" type="#_x0000_t202" style="position:absolute;margin-left:480.35000000000002pt;margin-top:9.pt;width:88.100000000000009pt;height:19.699999999999999pt;z-index:-125829366;mso-wrap-distance-left:0;mso-wrap-distance-top:9.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М.О. Мацнева</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Мацнева Мария Олеговна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00FDA1C988AAB27A9A34756B8D5F1D853</w:t>
      </w:r>
      <w:r>
        <w:rPr>
          <w:rStyle w:val="CharStyle18"/>
          <w:lang w:val="en-US" w:eastAsia="en-US"/>
        </w:rPr>
        <w:t>A</w:t>
      </w:r>
    </w:p>
    <w:p>
      <w:pPr>
        <w:pStyle w:val="Style17"/>
        <w:keepNext w:val="0"/>
        <w:keepLines w:val="0"/>
        <w:widowControl w:val="0"/>
        <w:shd w:val="clear" w:color="auto" w:fill="auto"/>
        <w:bidi w:val="0"/>
        <w:spacing w:before="0" w:after="320" w:line="240" w:lineRule="auto"/>
        <w:ind w:right="0" w:firstLine="0"/>
        <w:jc w:val="left"/>
      </w:pPr>
      <w:r>
        <w:rPr>
          <w:rStyle w:val="CharStyle18"/>
        </w:rPr>
        <w:t xml:space="preserve">Действителен с 22.07.2025 </w:t>
      </w:r>
      <w:r>
        <w:rPr>
          <w:rStyle w:val="CharStyle18"/>
          <w:color w:val="5E5E5E"/>
        </w:rPr>
        <w:t xml:space="preserve">по </w:t>
      </w:r>
      <w:r>
        <w:rPr>
          <w:rStyle w:val="CharStyle18"/>
        </w:rPr>
        <w:t>15.10.2026</w:t>
      </w:r>
    </w:p>
    <w:p>
      <w:pPr>
        <w:pStyle w:val="Style11"/>
        <w:keepNext w:val="0"/>
        <w:keepLines w:val="0"/>
        <w:widowControl w:val="0"/>
        <w:shd w:val="clear" w:color="auto" w:fill="auto"/>
        <w:bidi w:val="0"/>
        <w:spacing w:before="0" w:after="370" w:line="240" w:lineRule="auto"/>
        <w:ind w:left="0" w:right="0" w:firstLine="0"/>
        <w:jc w:val="center"/>
      </w:pPr>
      <w:r>
        <w:drawing>
          <wp:anchor distT="0" distB="0" distL="114300" distR="1918970" simplePos="0" relativeHeight="125829389" behindDoc="0" locked="0" layoutInCell="1" allowOverlap="1">
            <wp:simplePos x="0" y="0"/>
            <wp:positionH relativeFrom="page">
              <wp:posOffset>3037205</wp:posOffset>
            </wp:positionH>
            <wp:positionV relativeFrom="paragraph">
              <wp:posOffset>76200</wp:posOffset>
            </wp:positionV>
            <wp:extent cx="316865" cy="36576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1"/>
                    <a:stretch/>
                  </pic:blipFill>
                  <pic:spPr>
                    <a:xfrm>
                      <a:ext cx="316865"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3433445</wp:posOffset>
                </wp:positionH>
                <wp:positionV relativeFrom="paragraph">
                  <wp:posOffset>146050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0.35000000000002pt;margin-top:11.5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17"/>
        <w:keepNext w:val="0"/>
        <w:keepLines w:val="0"/>
        <w:widowControl w:val="0"/>
        <w:shd w:val="clear" w:color="auto" w:fill="auto"/>
        <w:bidi w:val="0"/>
        <w:spacing w:before="0" w:after="0" w:line="266" w:lineRule="auto"/>
        <w:ind w:right="0" w:firstLine="0"/>
        <w:jc w:val="left"/>
      </w:pPr>
      <w:r>
        <w:rPr>
          <w:rStyle w:val="CharStyle18"/>
        </w:rPr>
        <w:t xml:space="preserve">Кому выдан: </w:t>
      </w:r>
      <w:r>
        <w:rPr>
          <w:rStyle w:val="CharStyle18"/>
          <w:color w:val="000000"/>
        </w:rPr>
        <w:t>ГЕЛМУТДИНОВА АНАСТАСИЯ СЕРГЕЕВНА</w:t>
      </w:r>
      <w:r>
        <w:rPr>
          <w:rStyle w:val="CharStyle18"/>
          <w:color w:val="000000"/>
        </w:rPr>
        <w:t xml:space="preserve"> </w:t>
      </w:r>
      <w:r>
        <w:rPr>
          <w:rStyle w:val="CharStyle18"/>
        </w:rPr>
        <w:t xml:space="preserve">Сертификат </w:t>
      </w:r>
      <w:r>
        <w:rPr>
          <w:rStyle w:val="CharStyle18"/>
          <w:color w:val="292929"/>
        </w:rPr>
        <w:t xml:space="preserve">№ </w:t>
      </w:r>
      <w:r>
        <w:rPr>
          <w:rStyle w:val="CharStyle18"/>
        </w:rPr>
        <w:t>723501СС21703599976371</w:t>
      </w:r>
      <w:r>
        <w:rPr>
          <w:rStyle w:val="CharStyle18"/>
          <w:lang w:val="en-US" w:eastAsia="en-US"/>
        </w:rPr>
        <w:t>4F5C652689</w:t>
      </w:r>
    </w:p>
    <w:p>
      <w:pPr>
        <w:pStyle w:val="Style17"/>
        <w:keepNext w:val="0"/>
        <w:keepLines w:val="0"/>
        <w:widowControl w:val="0"/>
        <w:shd w:val="clear" w:color="auto" w:fill="auto"/>
        <w:bidi w:val="0"/>
        <w:spacing w:before="0" w:after="1180" w:line="266" w:lineRule="auto"/>
        <w:ind w:right="0" w:firstLine="0"/>
        <w:jc w:val="left"/>
      </w:pPr>
      <w:r>
        <w:rPr>
          <w:rStyle w:val="CharStyle18"/>
        </w:rPr>
        <w:t xml:space="preserve">Действителен с 09.02.2026 </w:t>
      </w:r>
      <w:r>
        <w:rPr>
          <w:rStyle w:val="CharStyle18"/>
          <w:color w:val="5E5E5E"/>
        </w:rPr>
        <w:t xml:space="preserve">по </w:t>
      </w:r>
      <w:r>
        <w:rPr>
          <w:rStyle w:val="CharStyle18"/>
        </w:rPr>
        <w:t>05.05.2027</w:t>
      </w:r>
    </w:p>
    <w:p>
      <w:pPr>
        <w:pStyle w:val="Style24"/>
        <w:keepNext w:val="0"/>
        <w:keepLines w:val="0"/>
        <w:widowControl w:val="0"/>
        <w:shd w:val="clear" w:color="auto" w:fill="auto"/>
        <w:bidi w:val="0"/>
        <w:spacing w:before="0" w:after="0" w:line="240" w:lineRule="auto"/>
        <w:ind w:left="0" w:right="0" w:firstLine="0"/>
        <w:jc w:val="left"/>
      </w:pPr>
      <w:r>
        <w:rPr>
          <w:rStyle w:val="CharStyle25"/>
        </w:rPr>
        <w:t>Исп.Мацнева М.О.</w:t>
      </w:r>
    </w:p>
    <w:p>
      <w:pPr>
        <w:pStyle w:val="Style24"/>
        <w:keepNext w:val="0"/>
        <w:keepLines w:val="0"/>
        <w:widowControl w:val="0"/>
        <w:shd w:val="clear" w:color="auto" w:fill="auto"/>
        <w:bidi w:val="0"/>
        <w:spacing w:before="0" w:after="200" w:line="240" w:lineRule="auto"/>
        <w:ind w:left="0" w:right="0" w:firstLine="0"/>
        <w:jc w:val="left"/>
      </w:pPr>
      <w:r>
        <w:rPr>
          <w:rStyle w:val="CharStyle25"/>
        </w:rPr>
        <w:t>тел.8(495)784-75-05</w:t>
      </w:r>
    </w:p>
    <w:sectPr>
      <w:footnotePr>
        <w:pos w:val="pageBottom"/>
        <w:numFmt w:val="decimal"/>
        <w:numRestart w:val="continuous"/>
      </w:footnotePr>
      <w:type w:val="continuous"/>
      <w:pgSz w:w="11900" w:h="16840"/>
      <w:pgMar w:top="1158" w:right="54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10059670</wp:posOffset>
              </wp:positionV>
              <wp:extent cx="725170" cy="103505"/>
              <wp:wrapNone/>
              <wp:docPr id="4" name="Shape 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2026-23766</w:t>
                          </w:r>
                        </w:p>
                      </w:txbxContent>
                    </wps:txbx>
                    <wps:bodyPr wrap="none" lIns="0" tIns="0" rIns="0" bIns="0">
                      <a:spAutoFit/>
                    </wps:bodyPr>
                  </wps:wsp>
                </a:graphicData>
              </a:graphic>
            </wp:anchor>
          </w:drawing>
        </mc:Choice>
        <mc:Fallback>
          <w:pict>
            <v:shape id="_x0000_s1030" type="#_x0000_t202" style="position:absolute;margin-left:57.200000000000003pt;margin-top:792.10000000000002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717550</wp:posOffset>
              </wp:positionH>
              <wp:positionV relativeFrom="page">
                <wp:posOffset>10214610</wp:posOffset>
              </wp:positionV>
              <wp:extent cx="740410" cy="128270"/>
              <wp:wrapNone/>
              <wp:docPr id="6" name="Shape 6"/>
              <a:graphic xmlns:a="http://schemas.openxmlformats.org/drawingml/2006/main">
                <a:graphicData uri="http://schemas.microsoft.com/office/word/2010/wordprocessingShape">
                  <wps:wsp>
                    <wps:cNvSpPr txBox="1"/>
                    <wps:spPr>
                      <a:xfrm>
                        <a:ext cx="74041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2026-23766</w:t>
                          </w:r>
                        </w:p>
                      </w:txbxContent>
                    </wps:txbx>
                    <wps:bodyPr wrap="none" lIns="0" tIns="0" rIns="0" bIns="0">
                      <a:spAutoFit/>
                    </wps:bodyPr>
                  </wps:wsp>
                </a:graphicData>
              </a:graphic>
            </wp:anchor>
          </w:drawing>
        </mc:Choice>
        <mc:Fallback>
          <w:pict>
            <v:shape id="_x0000_s1032" type="#_x0000_t202" style="position:absolute;margin-left:56.5pt;margin-top:804.30000000000007pt;width:58.300000000000004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3921125</wp:posOffset>
              </wp:positionH>
              <wp:positionV relativeFrom="page">
                <wp:posOffset>432435</wp:posOffset>
              </wp:positionV>
              <wp:extent cx="73025" cy="85090"/>
              <wp:wrapNone/>
              <wp:docPr id="2" name="Shape 2"/>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75pt;margin-top:34.049999999999997pt;width:5.75pt;height:6.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34343"/>
      <w:sz w:val="12"/>
      <w:szCs w:val="12"/>
      <w:u w:val="none"/>
    </w:rPr>
  </w:style>
  <w:style w:type="character" w:customStyle="1" w:styleId="CharStyle23">
    <w:name w:val="Body text (5)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2)"/>
    <w:basedOn w:val="Normal"/>
    <w:link w:val="CharStyle18"/>
    <w:pPr>
      <w:widowControl w:val="0"/>
      <w:shd w:val="clear" w:color="auto" w:fill="auto"/>
      <w:ind w:left="3660"/>
    </w:pPr>
    <w:rPr>
      <w:rFonts w:ascii="Arial" w:eastAsia="Arial" w:hAnsi="Arial" w:cs="Arial"/>
      <w:b w:val="0"/>
      <w:bCs w:val="0"/>
      <w:i w:val="0"/>
      <w:iCs w:val="0"/>
      <w:smallCaps w:val="0"/>
      <w:strike w:val="0"/>
      <w:color w:val="434343"/>
      <w:sz w:val="12"/>
      <w:szCs w:val="12"/>
      <w:u w:val="none"/>
    </w:rPr>
  </w:style>
  <w:style w:type="paragraph" w:customStyle="1" w:styleId="Style22">
    <w:name w:val="Body text (5)"/>
    <w:basedOn w:val="Normal"/>
    <w:link w:val="CharStyle23"/>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4)"/>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png"/><Relationship Id="rId16" Type="http://schemas.openxmlformats.org/officeDocument/2006/relationships/image" Target="media/image4.pn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s>
</file>