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0"/>
        </w:rPr>
        <w:t xml:space="preserve">ГКУ «Дирекция ЖКХиБ ВАО» </w:t>
      </w:r>
      <w:r>
        <w:fldChar w:fldCharType="begin"/>
      </w:r>
      <w:r>
        <w:rPr/>
        <w:instrText> HYPERLINK "mailto:guzvao@mail.ru" </w:instrText>
      </w:r>
      <w:r>
        <w:fldChar w:fldCharType="separate"/>
      </w:r>
      <w:r>
        <w:rPr>
          <w:rStyle w:val="CharStyle10"/>
          <w:lang w:val="en-US" w:eastAsia="en-US"/>
        </w:rPr>
        <w:t>guzvao@mail.ru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0"/>
        </w:rPr>
        <w:t xml:space="preserve">ГБУ «ОКЦ ВАО» </w:t>
      </w:r>
      <w:r>
        <w:rPr>
          <w:rStyle w:val="CharStyle10"/>
          <w:lang w:val="en-US" w:eastAsia="en-US"/>
        </w:rPr>
        <w:t>tender@indecom.group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</w:pPr>
      <w:r>
        <w:rPr>
          <w:rStyle w:val="CharStyle10"/>
        </w:rPr>
        <w:t>ООО «Индеком групп»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741" w:bottom="708" w:left="1135" w:header="0" w:footer="3" w:gutter="0"/>
          <w:pgNumType w:start="1"/>
          <w:cols w:num="2" w:space="1165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"mailto:tendergbusao@mail.ru" </w:instrText>
      </w:r>
      <w:r>
        <w:fldChar w:fldCharType="separate"/>
      </w:r>
      <w:r>
        <w:rPr>
          <w:rStyle w:val="CharStyle10"/>
          <w:lang w:val="en-US" w:eastAsia="en-US"/>
        </w:rPr>
        <w:t>tendergbusao@mail.ru</w:t>
      </w:r>
      <w:r>
        <w:fldChar w:fldCharType="end"/>
      </w: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6" w:right="0" w:bottom="4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077/06/105-5886/2026 о нарушении</w:t>
        <w:br/>
        <w:t>законодательства о контрактной системе</w:t>
        <w:br/>
        <w:t>08.05.2026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Председательствующего: и.о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рассмотрение жалобы проводилось дистанционно (посредством видео-конференц-связи)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участии представителей:, ГБУ «ОКЦ ВАО»: Самойловой В.Н. (дов.№07- 05/26 от 07.05.2026), Зяблицкого М.М. (дов.№07-05/26 от 07.05.2026), ООО «Индеком групп»: Богатых А.Г. (дов.№36 от 07.05.2026), Гузь В.О. (дов.№35 от 07.05.2026),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отсутствие представителей ГКУ «Дирекция ЖКХиБ ВАО»,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рассмотрев жалобу ООО «Индеком групп» (далее – Заявитель) на действия ГБУ г. Москвы «ОКЦ ВАО» (далее - Заказчик) при проведении электронного аукциона на право заключения государственного контракта на оказание услуг по техническому обслуживанию автоматической пожарной сигнализации (АПС) для нужд ГБУ «ОКЦ ВАО» (Закупка №0373200006226000515) (далее –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</w:t>
      </w:r>
    </w:p>
    <w:p>
      <w:pPr>
        <w:widowControl w:val="0"/>
        <w:spacing w:line="1" w:lineRule="exact"/>
      </w:pPr>
      <w:r>
        <w:drawing>
          <wp:anchor distT="1016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101600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both"/>
      </w:pPr>
      <w:r>
        <w:rPr>
          <w:rStyle w:val="CharStyle10"/>
        </w:rPr>
        <w:t xml:space="preserve">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результате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. </w:t>
      </w:r>
      <w:r>
        <w:rPr>
          <w:rStyle w:val="CharStyle10"/>
        </w:rPr>
        <w:t>В составе жалобы Заявитель указывает, что в описании объект закупки Заказчиком неправомерно не определен объем подменного фонда расходных материалов, подлежащих использованию при исполнении контракта, например в процентном соотношении от цены контракта, ввиду чего участнику закупки не представляется возможным надлежащим образом сформировать ценовое предложение.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Комиссией Управления установлено, что в описании объекта закупки в том числе указано: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«3.2. </w:t>
      </w:r>
      <w:r>
        <w:rPr>
          <w:rStyle w:val="CharStyle10"/>
        </w:rPr>
        <w:t xml:space="preserve">Исполнитель в течение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 xml:space="preserve">(пяти) рабочих дней должен провести проверку укомплектованности механизмов, аппаратуры, наличия инструментов и запасных частей (при необходимости). Запасные части и материалы закупаются Исполнителем по мере необходимости в процессе оказания услуг согласно Приложению </w:t>
      </w:r>
      <w:r>
        <w:rPr>
          <w:rStyle w:val="CharStyle10"/>
          <w:lang w:val="en-US" w:eastAsia="en-US"/>
        </w:rPr>
        <w:t xml:space="preserve">5 </w:t>
      </w:r>
      <w:r>
        <w:rPr>
          <w:rStyle w:val="CharStyle10"/>
        </w:rPr>
        <w:t>«Перечень запчастей и материалов, используемых для технического обслуживания и ремонта средств противопожарной защиты» к настоящему Техническому заданию.»;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6" w:val="left"/>
        </w:tabs>
        <w:bidi w:val="0"/>
        <w:spacing w:before="0" w:after="100" w:line="240" w:lineRule="auto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«3.3. </w:t>
      </w:r>
      <w:r>
        <w:rPr>
          <w:rStyle w:val="CharStyle10"/>
        </w:rPr>
        <w:t>Исполнитель обязан принять на техническое обслуживание средства противопожарной защиты в том состоянии, в котором они находятся на момент заключения Контракта».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  <w:rPr>
          <w:sz w:val="24"/>
          <w:szCs w:val="24"/>
        </w:rPr>
      </w:pPr>
      <w:r>
        <w:rPr>
          <w:rStyle w:val="CharStyle13"/>
          <w:sz w:val="24"/>
          <w:szCs w:val="24"/>
          <w:lang w:val="en-US" w:eastAsia="en-US"/>
        </w:rPr>
        <w:t>2026-23833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При этом Комиссией Управления установлено, что в приложении </w:t>
      </w:r>
      <w:r>
        <w:rPr>
          <w:rStyle w:val="CharStyle10"/>
          <w:lang w:val="en-US" w:eastAsia="en-US"/>
        </w:rPr>
        <w:t xml:space="preserve">№5 </w:t>
      </w:r>
      <w:r>
        <w:rPr>
          <w:rStyle w:val="CharStyle10"/>
        </w:rPr>
        <w:t xml:space="preserve">«Перечень запчастей и материалов, используемых для технического обслуживания и ремонта средств противопожарной защиты» к описанию объекта закупки определен перечень запчастей и материалов, например «Извещатель пожарный дымовой оптико-электронный адресно-аналоговый: </w:t>
      </w:r>
      <w:r>
        <w:rPr>
          <w:rStyle w:val="CharStyle10"/>
          <w:lang w:val="en-US" w:eastAsia="en-US"/>
        </w:rPr>
        <w:t xml:space="preserve">6074 </w:t>
      </w:r>
      <w:r>
        <w:rPr>
          <w:rStyle w:val="CharStyle10"/>
        </w:rPr>
        <w:t>шт».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Также Комиссией Управления установлено, что в приложение </w:t>
      </w:r>
      <w:r>
        <w:rPr>
          <w:rStyle w:val="CharStyle10"/>
          <w:lang w:val="en-US" w:eastAsia="en-US"/>
        </w:rPr>
        <w:t xml:space="preserve">№3 </w:t>
      </w:r>
      <w:r>
        <w:rPr>
          <w:rStyle w:val="CharStyle10"/>
        </w:rPr>
        <w:t xml:space="preserve">к описанию объекта закупки «Регламенты работ» Заказчиком определены виды необходимых к выполнению работ и их периодичность, а в приложении </w:t>
      </w:r>
      <w:r>
        <w:rPr>
          <w:rStyle w:val="CharStyle10"/>
          <w:lang w:val="en-US" w:eastAsia="en-US"/>
        </w:rPr>
        <w:t xml:space="preserve">№4 </w:t>
      </w:r>
      <w:r>
        <w:rPr>
          <w:rStyle w:val="CharStyle10"/>
        </w:rPr>
        <w:t>к описанию объекта закупки «Перечень средств противопожарной защиты, подлежащих техническому обслуживанию и ремонту» определен перечень оборудования, подлежащий обслуживанию.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На заседании Комиссии Управления представитель Заказчика пояснил, что исходя из закрытого перечня оборудования, подлежащего ремонту и замене и указанного в описании объекта, а также отражённой в описании объект закупки периодичности необходимых работ, участникам закупки представляется возможным самостоятельно определить объем расходных материалов, необходимых к применению при оказании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При этом представитель Заказчика отметил, что стоимость расходных материалов, необходимых для выполнения работ, учтена при расчете начальной (максимальной) цены контракта и включена в цену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на заседании Комиссии Управления представителем Заявителя, а также в составе жалобы Заявителем, не представлено документов и сведений, подтверждающих доводы жалобы, в частности не представлено документов и сведений, указывающих на ограничение количества участников закупки, невозможности составления заявки на участие в закупки и ценового предложения при формировании описания объекта закупки вышеуказанным образом,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Кроме того, согласно протоколу подведения итогов определения поставщика (подрядчика, исполнителя) от </w:t>
      </w:r>
      <w:r>
        <w:rPr>
          <w:rStyle w:val="CharStyle10"/>
          <w:lang w:val="en-US" w:eastAsia="en-US"/>
        </w:rPr>
        <w:t xml:space="preserve">07.05.2026 </w:t>
      </w:r>
      <w:r>
        <w:rPr>
          <w:rStyle w:val="CharStyle10"/>
        </w:rPr>
        <w:t xml:space="preserve">№ИЭА1 на участие в закупке подано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заявок, все поданные заявки признаны соответствующими требованиям извещения, при этом снижение цены контракта составило </w:t>
      </w:r>
      <w:r>
        <w:rPr>
          <w:rStyle w:val="CharStyle10"/>
          <w:lang w:val="en-US" w:eastAsia="en-US"/>
        </w:rPr>
        <w:t xml:space="preserve">26%, </w:t>
      </w:r>
      <w:r>
        <w:rPr>
          <w:rStyle w:val="CharStyle10"/>
        </w:rPr>
        <w:t>что также свидетельствует об отсутствии ограничения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00"/>
        <w:jc w:val="both"/>
      </w:pPr>
      <w:r>
        <w:rPr>
          <w:rStyle w:val="CharStyle10"/>
        </w:rPr>
        <w:t>Таким образом, на основании имеющихся документов и сведений,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3"/>
          <w:sz w:val="24"/>
          <w:szCs w:val="24"/>
          <w:lang w:val="en-US" w:eastAsia="en-US"/>
        </w:rPr>
        <w:t>2026-23833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 xml:space="preserve">Также в составе жалобы Заявитель указывает, что товары, указанные в позициях </w:t>
      </w:r>
      <w:r>
        <w:rPr>
          <w:rStyle w:val="CharStyle10"/>
          <w:lang w:val="en-US" w:eastAsia="en-US"/>
        </w:rPr>
        <w:t xml:space="preserve">№8 - 10, 28, 30 — 33, 36, 38, 39, 41-46 </w:t>
      </w:r>
      <w:r>
        <w:rPr>
          <w:rStyle w:val="CharStyle10"/>
        </w:rPr>
        <w:t>не относятся к оборудованию, подлежащему обслуживанию в рамках контракта, заключаемого по результатам обжалуемой конкурентной процедуры, поскольку данное оборудование относится к иным противопожарным системам.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 xml:space="preserve">Комиссией Управления установлено, что в приложении </w:t>
      </w:r>
      <w:r>
        <w:rPr>
          <w:rStyle w:val="CharStyle10"/>
          <w:lang w:val="en-US" w:eastAsia="en-US"/>
        </w:rPr>
        <w:t xml:space="preserve">№5 </w:t>
      </w:r>
      <w:r>
        <w:rPr>
          <w:rStyle w:val="CharStyle10"/>
        </w:rPr>
        <w:t>«Перечень запчастей и материалов, используемых для технического обслуживания и ремонта средств противопожарной защиты» к описанию объекта закупки определен перечень запчастей и материалов, например по п.8 «Клапан КДМ-2».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 xml:space="preserve">На заседании Комиссии Управления представитель Заказчика пояснил, что в приложении </w:t>
      </w:r>
      <w:r>
        <w:rPr>
          <w:rStyle w:val="CharStyle10"/>
          <w:lang w:val="en-US" w:eastAsia="en-US"/>
        </w:rPr>
        <w:t xml:space="preserve">№5 </w:t>
      </w:r>
      <w:r>
        <w:rPr>
          <w:rStyle w:val="CharStyle10"/>
        </w:rPr>
        <w:t>«Перечень запчастей и материалов, используемых для технического обслуживания и ремонта средств противопожарной защиты» к описанию объекта закупки Заказчиком определены исключительно запасные части и материалы, необходимые для обслуживания инженерных систем Заказчика, в частности для поддержания работоспособного состояния установок в процессе эксплуатации путём периодического проведения работ по профилактике, контролю технического состояния и устранению характерных неисправностей.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Вместе с этим на заседании Комиссии Управления представителем Заявителя, а также в составе жалобы Заявителем, не представлено документов и сведений, подтверждающих доводы жалобы, в частности не представлено документов и сведений, указывающих что оспариваемые позиции приложения не подлежат применению при обслуживании инженерных систем Заказчика,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Таким образом, на основании имеющихся документов и сведений,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Также в составе жалобы Заявитель указывает, что разъяснения положений извещений об осуществлении закупки размещены Заказчиком в нарушение ч.5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 xml:space="preserve">Так, Заявитель указывает, что в разъяснениях положений извещения об осуществлении закупки №№РИ1 Заказчиком неправомерно представлены сведения, изменяющие суть извещения, в частности указаны марки и модели оборудования к приложению </w:t>
      </w:r>
      <w:r>
        <w:rPr>
          <w:rStyle w:val="CharStyle10"/>
          <w:lang w:val="en-US" w:eastAsia="en-US"/>
        </w:rPr>
        <w:t xml:space="preserve">№5, </w:t>
      </w:r>
      <w:r>
        <w:rPr>
          <w:rStyle w:val="CharStyle10"/>
        </w:rPr>
        <w:t xml:space="preserve">в то время как в приложении </w:t>
      </w:r>
      <w:r>
        <w:rPr>
          <w:rStyle w:val="CharStyle10"/>
          <w:lang w:val="en-US" w:eastAsia="en-US"/>
        </w:rPr>
        <w:t xml:space="preserve">№5 </w:t>
      </w:r>
      <w:r>
        <w:rPr>
          <w:rStyle w:val="CharStyle10"/>
        </w:rPr>
        <w:t>такие сведения не указаны.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0"/>
        </w:rPr>
        <w:t>Помимо этого заявитель указывает, что в разъяснениях Заказчиком неправомерно не размещен текст запроса.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0"/>
        </w:rPr>
        <w:t xml:space="preserve">В силу ч.5 ст.42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</w:t>
      </w:r>
      <w:r>
        <w:rPr>
          <w:rStyle w:val="CharStyle10"/>
          <w:sz w:val="24"/>
          <w:szCs w:val="24"/>
          <w:lang w:val="en-US" w:eastAsia="en-US"/>
        </w:rPr>
        <w:t>2026-23833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0"/>
        </w:rPr>
        <w:t>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 xml:space="preserve">Комиссией Управления установлено, что, например, </w:t>
      </w:r>
      <w:r>
        <w:rPr>
          <w:rStyle w:val="CharStyle10"/>
          <w:lang w:val="en-US" w:eastAsia="en-US"/>
        </w:rPr>
        <w:t xml:space="preserve">29.04.2026 </w:t>
      </w:r>
      <w:r>
        <w:rPr>
          <w:rStyle w:val="CharStyle10"/>
        </w:rPr>
        <w:t>Заказчиком размещены разъяснения положений извещения об осуществлении закупки №РИ1 со следующим содержанием: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</w:rPr>
        <w:t>«</w:t>
      </w:r>
      <w:r>
        <w:rPr>
          <w:rStyle w:val="CharStyle10"/>
          <w:i/>
          <w:iCs/>
        </w:rPr>
        <w:t>На Ваш запрос, (нумерация по пунктам запроса) поясняю следующее: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bidi w:val="0"/>
        <w:spacing w:before="0" w:after="0"/>
        <w:ind w:left="0" w:right="0" w:firstLine="720"/>
        <w:jc w:val="both"/>
      </w:pP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6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Устройство дистанционного пуска адресное "ПУСК ПОЖАРОТУШЕНИЯ"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29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Оповещатель охранно-пожарный световой Молния-12 "ВЫХОД" предназначен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для обозначения эвакуационных выходов, путей эвакуации людей при пожаре;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2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Данные оповещатели являются частью охранно-пожарной сигнализации;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29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 xml:space="preserve">Громкоговоритель трансляционный </w:t>
      </w:r>
      <w:r>
        <w:rPr>
          <w:rStyle w:val="CharStyle10"/>
          <w:i/>
          <w:iCs/>
          <w:lang w:val="en-US" w:eastAsia="en-US"/>
        </w:rPr>
        <w:t xml:space="preserve">SW </w:t>
      </w:r>
      <w:r>
        <w:rPr>
          <w:rStyle w:val="CharStyle10"/>
          <w:i/>
          <w:iCs/>
        </w:rPr>
        <w:t>используется в системе оповещения при пожаре;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29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Клапан дымоудаления КДМ-2, при срабатывании АПС открывание клапанов. (обслуживание смазка, пылеудаление);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1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Клапан ЯКП-2 обслуживание смазка, пылеудаление.;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29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Источник питания резервированный. (обслуживание смазка пылеудаление);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42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Припой ПОС-61 обычно используется для лужения и пайки электро- и радиоаппаратуры, печатных схем. (ИПР, кабелей питания);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70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Солидол жировой (обслуживание КДМ);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42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 xml:space="preserve">Электроды, тип Э-42, </w:t>
      </w:r>
      <w:r>
        <w:rPr>
          <w:rStyle w:val="CharStyle10"/>
          <w:i/>
          <w:iCs/>
          <w:lang w:val="en-US" w:eastAsia="en-US"/>
        </w:rPr>
        <w:t xml:space="preserve">46, 50, </w:t>
      </w:r>
      <w:r>
        <w:rPr>
          <w:rStyle w:val="CharStyle10"/>
          <w:i/>
          <w:iCs/>
        </w:rPr>
        <w:t xml:space="preserve">диаметр </w:t>
      </w:r>
      <w:r>
        <w:rPr>
          <w:rStyle w:val="CharStyle10"/>
          <w:i/>
          <w:iCs/>
          <w:lang w:val="en-US" w:eastAsia="en-US"/>
        </w:rPr>
        <w:t xml:space="preserve">4 - 6 </w:t>
      </w:r>
      <w:r>
        <w:rPr>
          <w:rStyle w:val="CharStyle10"/>
          <w:i/>
          <w:iCs/>
        </w:rPr>
        <w:t>мм.(при необходимости ремонта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КДМ);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4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Прокладки резиновые, уплотнительные (при необходимости обслуживания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системы водяного пожаротушения);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4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Прокладка уплотнительная паронитовая (при необходимости обслуживания системы водяного пожаротушения);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80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Шнур асбестовый (обслуживание воздуховодов дымоудаления);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80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Болты строительные (обслуживание КДМ);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280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Шайбы для болтов черные (обслуживание КДМ);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6" w:right="535" w:bottom="466" w:left="1089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  <w:i/>
          <w:iCs/>
        </w:rPr>
        <w:t xml:space="preserve">Приложение является перечнем возможных к применению материалов и оборудования и фактически израсходованных материалов, но не превышать </w:t>
      </w:r>
      <w:r>
        <w:rPr>
          <w:rStyle w:val="CharStyle10"/>
          <w:sz w:val="24"/>
          <w:szCs w:val="24"/>
          <w:lang w:val="en-US" w:eastAsia="en-US"/>
        </w:rPr>
        <w:t>2026-23833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0"/>
          <w:i/>
          <w:iCs/>
        </w:rPr>
        <w:t>предельного значения.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bidi w:val="0"/>
        <w:spacing w:before="0" w:after="0"/>
        <w:ind w:left="0" w:right="0" w:firstLine="720"/>
        <w:jc w:val="both"/>
      </w:pP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22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Извещатель Аврора ИП212-155;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41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ИПР С2000Р;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26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устройство дистанционного пуска адресное для С2000-КДЛ;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56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 xml:space="preserve">РИП-24 ИСП.01 Болид Резервированный источник питания </w:t>
      </w:r>
      <w:r>
        <w:rPr>
          <w:rStyle w:val="CharStyle10"/>
          <w:i/>
          <w:iCs/>
          <w:lang w:val="en-US" w:eastAsia="en-US"/>
        </w:rPr>
        <w:t xml:space="preserve">24 </w:t>
      </w:r>
      <w:r>
        <w:rPr>
          <w:rStyle w:val="CharStyle10"/>
          <w:i/>
          <w:iCs/>
        </w:rPr>
        <w:t>В, 3А;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80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 xml:space="preserve">АКБ </w:t>
      </w:r>
      <w:r>
        <w:rPr>
          <w:rStyle w:val="CharStyle10"/>
          <w:i/>
          <w:iCs/>
          <w:lang w:val="en-US" w:eastAsia="en-US"/>
        </w:rPr>
        <w:t xml:space="preserve">700 </w:t>
      </w:r>
      <w:r>
        <w:rPr>
          <w:rStyle w:val="CharStyle10"/>
          <w:i/>
          <w:iCs/>
        </w:rPr>
        <w:t>мАч 1,2В АА;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80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 xml:space="preserve">АКБ </w:t>
      </w:r>
      <w:r>
        <w:rPr>
          <w:rStyle w:val="CharStyle10"/>
          <w:i/>
          <w:iCs/>
          <w:lang w:val="en-US" w:eastAsia="en-US"/>
        </w:rPr>
        <w:t xml:space="preserve">CR 123 </w:t>
      </w:r>
      <w:r>
        <w:rPr>
          <w:rStyle w:val="CharStyle10"/>
          <w:i/>
          <w:iCs/>
        </w:rPr>
        <w:t xml:space="preserve">А (3В); </w:t>
      </w:r>
      <w:r>
        <w:rPr>
          <w:rStyle w:val="CharStyle10"/>
          <w:i/>
          <w:iCs/>
          <w:lang w:val="en-US" w:eastAsia="en-US"/>
        </w:rPr>
        <w:t>СR 2032;</w:t>
      </w:r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280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 xml:space="preserve">АКБ </w:t>
      </w:r>
      <w:r>
        <w:rPr>
          <w:rStyle w:val="CharStyle10"/>
          <w:i/>
          <w:iCs/>
          <w:lang w:val="en-US" w:eastAsia="en-US"/>
        </w:rPr>
        <w:t>CF1240 12v40ah; СF121712v17ah; GS12-6.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bidi w:val="0"/>
        <w:spacing w:before="0" w:after="0"/>
        <w:ind w:left="0" w:right="0" w:firstLine="720"/>
        <w:jc w:val="both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Регламент работ по ТО СОУЭ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Обслуживание световых, звуковых и речевых соответствии с графиком, пожарных оповещателей (очистка, протирка и т. п.) рекомендациями изготовителей, по мере необходимости, но не реже одного раза в три месяца.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Проверка основного и резервного источников электропитания проверка автоматического переключения цепей электропитания с основного, ввода на резервный, проверка работоспособности отдельных компонентов СОУЭ.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Ежеквартально.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 xml:space="preserve">Проверка работоспособности СОУЭ Два раза в год, но не более </w:t>
      </w:r>
      <w:r>
        <w:rPr>
          <w:rStyle w:val="CharStyle10"/>
          <w:i/>
          <w:iCs/>
          <w:lang w:val="en-US" w:eastAsia="en-US"/>
        </w:rPr>
        <w:t xml:space="preserve">7 </w:t>
      </w:r>
      <w:r>
        <w:rPr>
          <w:rStyle w:val="CharStyle10"/>
          <w:i/>
          <w:iCs/>
        </w:rPr>
        <w:t>мес Между проверками.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Замена технических средств и ресурсных в соответствии с графиком замены элементов СОУЭ или при необходимости.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Осуществление контроля за исправностью приборов контроля и управления СОУЭ, а также линий связи, обеспечивающих взаимодействие и Круглосуточно обмен информацией между компонентами системы пожарной автоматики и СОУЭ.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СПДВ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Проверка работоспособности системы: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left"/>
      </w:pPr>
      <w:r>
        <w:rPr>
          <w:rStyle w:val="CharStyle10"/>
          <w:i/>
          <w:iCs/>
        </w:rPr>
        <w:t>Визуальный осмотр вентиляторов, клапанов, заслонок, дымоудаления управляющей автоматики и других элементов на наличие повреждений, коррозии и загрязнений.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left"/>
      </w:pPr>
      <w:r>
        <w:rPr>
          <w:rStyle w:val="CharStyle10"/>
          <w:i/>
          <w:iCs/>
        </w:rPr>
        <w:t>Проверка всех электрических соединений, целостности проводки и состояния клеммных соединений.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10"/>
          <w:i/>
          <w:iCs/>
        </w:rPr>
        <w:t>Проверка работоспособности пультов управления и диспетчеризации.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Проверка работы исполнительных механизмов: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15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Проверка открытия и закрытия дымовых клапанов и заслонок.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Тестирование работы вентиляторов дымоудаления на разных режимах: запуск, остановка, аварийный режим.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3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Проверка работы обратных клапанов, которые препятствуют распространению дыма через вентиляционные каналы.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Очистка и смазка оборудования: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155" w:val="left"/>
        </w:tabs>
        <w:bidi w:val="0"/>
        <w:spacing w:before="0" w:after="0"/>
        <w:ind w:left="0" w:right="0" w:firstLine="720"/>
        <w:jc w:val="both"/>
      </w:pPr>
      <w:r>
        <w:rPr>
          <w:rStyle w:val="CharStyle10"/>
          <w:i/>
          <w:iCs/>
        </w:rPr>
        <w:t>Очистка фильтров, решеток, воздуховодов и вентиляторов от пыли 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i/>
          <w:iCs/>
        </w:rPr>
        <w:t>грязи.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43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i/>
          <w:iCs/>
        </w:rPr>
        <w:t>Смазка подвижных элементов вентиляторов и заслонок для предотвращения заеданий и преждевременного износа.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i/>
          <w:iCs/>
          <w:lang w:val="en-US" w:eastAsia="en-US"/>
        </w:rPr>
        <w:t>IV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13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i/>
          <w:iCs/>
          <w:lang w:val="en-US" w:eastAsia="en-US"/>
        </w:rPr>
        <w:t>1,2,47,48,49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i/>
          <w:iCs/>
        </w:rPr>
        <w:t>Приложение является перечнем возможных к применению материалов и оборудования и фактически израсходованных материалов, но не превышать предельного значения. Исполнитель вправе использовать при оказании услуг, а их фактическое количество будет определяться по мере возникновения необходимости</w:t>
      </w:r>
      <w:r>
        <w:rPr>
          <w:rStyle w:val="CharStyle10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Комиссия Управления отмечает, что, как установлено Комиссией Управления, в рамках разъяснений Заказчиком не размещены тексты запросов разъяснений, поданные участниками закупки, что не позволяет однозначным образом соотнести размещенные разъяснения с положениями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Комиссия Управления приходит к выводу, требований Закона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Комиссия Управления приходит к выводу о нарушении Заказчиком ч.5 ст.42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Одновременно с этим Комиссией Управления установлено, что вышеуказанное нарушение не повлияло на результаты определения поставщика, (подрядчика, исполнителя), так как согласно протоколу подведения итогов определения поставщика (подрядчика, исполнителя) от </w:t>
      </w:r>
      <w:r>
        <w:rPr>
          <w:rStyle w:val="CharStyle10"/>
          <w:lang w:val="en-US" w:eastAsia="en-US"/>
        </w:rPr>
        <w:t xml:space="preserve">07.05.2026 </w:t>
      </w:r>
      <w:r>
        <w:rPr>
          <w:rStyle w:val="CharStyle10"/>
        </w:rPr>
        <w:t xml:space="preserve">№ИЭА1 на участие в закупке подано </w:t>
      </w:r>
      <w:r>
        <w:rPr>
          <w:rStyle w:val="CharStyle10"/>
          <w:lang w:val="en-US" w:eastAsia="en-US"/>
        </w:rPr>
        <w:t xml:space="preserve">6 </w:t>
      </w:r>
      <w:r>
        <w:rPr>
          <w:rStyle w:val="CharStyle10"/>
        </w:rPr>
        <w:t xml:space="preserve">заявок, все поданные заявки признаны соответствующими требованиям извещения, при этом снижение цены контракта составило </w:t>
      </w:r>
      <w:r>
        <w:rPr>
          <w:rStyle w:val="CharStyle10"/>
          <w:lang w:val="en-US" w:eastAsia="en-US"/>
        </w:rPr>
        <w:t>26%.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>Также Комиссией Управления установлено, что в составе жалобы Заявитель указывает на то, что начальная (максимальная) цена контракта сформирована Заказчиком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ч.3 ст.99 Закона о контрактной системе ФАС России осуществляет контроль в сфере закупок, за исключением контроля, предусмотренного ч.5,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10 </w:t>
      </w:r>
      <w:r>
        <w:rPr>
          <w:rStyle w:val="CharStyle10"/>
        </w:rPr>
        <w:t>ст.99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П.3 ч.8 ст.99 Закона о контрактной системе установлено, что контроль за соблюдением требований к определению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услуги, осуществляют органы внутреннего государственного (муниципального) финансового контроля.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ч.9 ст.99 Закона о контрактной системе контроль в сфере закупок в соответствии с ч.8 ст.99 Закона о контрактной системе осуществляется в соответствии с порядком, предусмотренным бюджетным законодательством Российской Федерации и иными нормативными правовыми актами, регулирующими бюджетные правоотношения, в целях установления законности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Законом о контрактной системе, Бюджетным кодексом Российской Федерации и принимаемыми в соответствии с ними нормативными правовыми актами Российской Федерации:</w:t>
      </w:r>
    </w:p>
    <w:p>
      <w:pPr>
        <w:pStyle w:val="Style9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федеральным органом исполнительной власти, осуществляющим функции по контролю и надзору в финансово-бюджетной сфере, в отношении закупок для обеспечения федеральных нужд, а также закупок для обеспечения нужд субъектов Российской Федерации, муниципальных нужд, финансовое обеспечение которых частично или полностью осуществляется за счет субсидий, субвенций, иных межбюджетных трансфертов, имеющих целевое назначение, из федерального бюджета;</w:t>
      </w:r>
    </w:p>
    <w:p>
      <w:pPr>
        <w:pStyle w:val="Style9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органом государственного финансового контроля, являющимся исполнительным органом субъекта Российской Федерации (должностным лицом), в отношении закупок для обеспечения нужд субъекта Российской Федерации;</w:t>
      </w:r>
    </w:p>
    <w:p>
      <w:pPr>
        <w:pStyle w:val="Style9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органом муниципального финансового контроля, являющимся органом (должностными лицами) местной администрации, в отношении закупок для обеспечения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рассмотрение жалоб участников закупок на предмет правомерности обоснования и расчета начальной (максимальной) цены контракта не относится к компетенции Московского УФАС России, в связи с чем не подлежат рассмотрению.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43" w:right="556" w:bottom="1114" w:left="1092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Признать жалобу ООО «Индеком групп» на действия ГБУ «ОКЦ ВАО» обоснованной в части размещения разъяснений положений извещения в нарушение требований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Жалобу в части доводов о неправомерности формирования и обоснования начальной (максимальной) цены контракта оставить без рассмотрения на основании положений ст.99 Закона о контрактной системы.</w:t>
      </w:r>
    </w:p>
    <w:p>
      <w:pPr>
        <w:pStyle w:val="Style9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Признать в действиях Заказчика нарушения ч.5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421" w:val="left"/>
        </w:tabs>
        <w:bidi w:val="0"/>
        <w:spacing w:before="0" w:after="180" w:line="240" w:lineRule="auto"/>
        <w:ind w:left="0" w:right="0" w:firstLine="680"/>
        <w:jc w:val="both"/>
      </w:pPr>
      <w:r>
        <w:rPr>
          <w:rStyle w:val="CharStyle10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46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16764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9611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26.pt;width:149.30000000000001pt;height:19.900000000000002pt;z-index:-125829374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1490" distB="0" distL="0" distR="0" simplePos="0" relativeHeight="125829381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491490</wp:posOffset>
                </wp:positionV>
                <wp:extent cx="1722120" cy="25908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80000000000001pt;margin-top:38.700000000000003pt;width:135.59999999999999pt;height:20.400000000000002pt;z-index:-125829372;mso-wrap-distance-left:0;mso-wrap-distance-top:38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167640" distL="0" distR="0" simplePos="0" relativeHeight="125829383" behindDoc="0" locked="0" layoutInCell="1" allowOverlap="1">
                <wp:simplePos x="0" y="0"/>
                <wp:positionH relativeFrom="page">
                  <wp:posOffset>6042660</wp:posOffset>
                </wp:positionH>
                <wp:positionV relativeFrom="paragraph">
                  <wp:posOffset>330200</wp:posOffset>
                </wp:positionV>
                <wp:extent cx="1176655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5.80000000000001pt;margin-top:26.pt;width:92.650000000000006pt;height:19.900000000000002pt;z-index:-125829370;mso-wrap-distance-left:0;mso-wrap-distance-top:26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3FC3074664AE0BF9622DE254DA2DA419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4"/>
        </w:rPr>
        <w:t xml:space="preserve">Действителен с 03.09.2025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27.1</w:t>
      </w:r>
      <w:r>
        <w:rPr>
          <w:rStyle w:val="CharStyle24"/>
          <w:color w:val="292929"/>
        </w:rPr>
        <w:t>1</w:t>
      </w:r>
      <w:r>
        <w:rPr>
          <w:rStyle w:val="CharStyle24"/>
        </w:rPr>
        <w:t>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90000000000003pt;margin-top:36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75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Матюшенко Александр Александрович</w:t>
      </w:r>
      <w:r>
        <w:rPr>
          <w:rStyle w:val="CharStyle24"/>
          <w:color w:val="000000"/>
        </w:rPr>
        <w:t xml:space="preserve">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4F595A5C3E5ABB2DD77161F08559FC07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24"/>
        </w:rPr>
        <w:t xml:space="preserve">Действителен с 22.07.2025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980"/>
        <w:jc w:val="left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80000000000001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М.В. Сорбучева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8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СОРБУЧЕВА МАРИЯ ВАСИЛЬЕВНА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6EBF6CE6C27B6345D47DBCD40C7FA5FD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4"/>
        </w:rPr>
        <w:t xml:space="preserve">Действителен с 19.09.2025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13.12.2026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152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2026-23833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804.30000000000007pt;width:57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2026-23833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2026-23833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2026-23833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334010</wp:posOffset>
              </wp:positionV>
              <wp:extent cx="6413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69999999999999pt;margin-top:26.300000000000001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64135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19999999999999pt;margin-top:37.25pt;width:5.0499999999999998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2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39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4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47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11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Body text (5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Body text (5)"/>
    <w:basedOn w:val="Normal"/>
    <w:link w:val="CharStyle13"/>
    <w:pPr>
      <w:widowControl w:val="0"/>
      <w:shd w:val="clear" w:color="auto" w:fill="auto"/>
      <w:spacing w:after="80" w:line="28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4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