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41" w:bottom="938" w:left="110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УПРАВЛЕНИЕ</w:t>
        <w:b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10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5.05.2026</w:t>
      </w:r>
      <w:r>
        <w:rPr>
          <w:rStyle w:val="CharStyle10"/>
          <w:u w:val="none"/>
        </w:rPr>
        <w:tab/>
      </w:r>
      <w:r>
        <w:fldChar w:fldCharType="end"/>
      </w:r>
      <w:r>
        <w:rPr>
          <w:rStyle w:val="CharStyle10"/>
          <w:u w:val="none"/>
        </w:rPr>
        <w:t xml:space="preserve">№ </w:t>
      </w:r>
      <w:r>
        <w:rPr>
          <w:rStyle w:val="CharStyle10"/>
        </w:rPr>
        <w:t>ИБ/9864/26</w:t>
      </w:r>
      <w:bookmarkEnd w:id="0"/>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  от</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МБУ «ФОК» </w:t>
      </w:r>
      <w:r>
        <w:fldChar w:fldCharType="begin"/>
      </w:r>
      <w:r>
        <w:rPr/>
        <w:instrText> HYPERLINK "mailto:info@fok-oka.ru" </w:instrText>
      </w:r>
      <w:r>
        <w:fldChar w:fldCharType="separate"/>
      </w:r>
      <w:r>
        <w:rPr>
          <w:rStyle w:val="CharStyle13"/>
          <w:lang w:val="en-US" w:eastAsia="en-US"/>
        </w:rPr>
        <w:t>info@fok-oka.ru</w:t>
      </w:r>
      <w:r>
        <w:fldChar w:fldCharType="end"/>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ООО «ДДТ-СЕРВИС» </w:t>
      </w:r>
      <w:r>
        <w:fldChar w:fldCharType="begin"/>
      </w:r>
      <w:r>
        <w:rPr/>
        <w:instrText> HYPERLINK "mailto:profsistem00@mail.ru" </w:instrText>
      </w:r>
      <w:r>
        <w:fldChar w:fldCharType="separate"/>
      </w:r>
      <w:r>
        <w:rPr>
          <w:rStyle w:val="CharStyle13"/>
          <w:lang w:val="en-US" w:eastAsia="en-US"/>
        </w:rPr>
        <w:t>profsistem00@mail.ru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Администрация города Дзержинска</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Нижегородской области </w:t>
      </w:r>
      <w:r>
        <w:fldChar w:fldCharType="begin"/>
      </w:r>
      <w:r>
        <w:rPr/>
        <w:instrText> HYPERLINK "mailto:munzakaz-adm@yandex.ru" </w:instrText>
      </w:r>
      <w:r>
        <w:fldChar w:fldCharType="separate"/>
      </w:r>
      <w:r>
        <w:rPr>
          <w:rStyle w:val="CharStyle13"/>
          <w:lang w:val="en-US" w:eastAsia="en-US"/>
        </w:rPr>
        <w:t>munzakaz-adm@yandex.ru</w:t>
      </w:r>
      <w:r>
        <w:fldChar w:fldCharType="end"/>
      </w:r>
      <w:r>
        <w:rPr>
          <w:rStyle w:val="CharStyle13"/>
          <w:lang w:val="en-US" w:eastAsia="en-US"/>
        </w:rPr>
        <w:t xml:space="preserve">, </w:t>
      </w:r>
      <w:r>
        <w:fldChar w:fldCharType="begin"/>
      </w:r>
      <w:r>
        <w:rPr/>
        <w:instrText> HYPERLINK "mailto:munzakaz@adm.dzr.nnov.ru" </w:instrText>
      </w:r>
      <w:r>
        <w:fldChar w:fldCharType="separate"/>
      </w:r>
      <w:r>
        <w:rPr>
          <w:rStyle w:val="CharStyle13"/>
          <w:lang w:val="en-US" w:eastAsia="en-US"/>
        </w:rPr>
        <w:t>munzakaz@adm.dzr.nnov.ru</w:t>
      </w:r>
      <w:r>
        <w:fldChar w:fldCharType="end"/>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85" w:right="1386" w:bottom="1371" w:left="1135" w:header="0" w:footer="3" w:gutter="0"/>
          <w:cols w:num="2" w:space="1072"/>
          <w:noEndnote/>
          <w:rtlGutter w:val="0"/>
          <w:docGrid w:linePitch="360"/>
        </w:sectPr>
      </w:pPr>
      <w:r>
        <w:rPr>
          <w:rStyle w:val="CharStyle13"/>
        </w:rPr>
        <w:t xml:space="preserve">ЭТП Газпромбанк </w:t>
      </w:r>
      <w:r>
        <w:fldChar w:fldCharType="begin"/>
      </w:r>
      <w:r>
        <w:rPr/>
        <w:instrText> HYPERLINK "mailto:info@etpgpb.ru" </w:instrText>
      </w:r>
      <w:r>
        <w:fldChar w:fldCharType="separate"/>
      </w:r>
      <w:r>
        <w:rPr>
          <w:rStyle w:val="CharStyle13"/>
          <w:lang w:val="en-US" w:eastAsia="en-US"/>
        </w:rPr>
        <w:t>info@etpgpb.ru</w:t>
      </w:r>
      <w:r>
        <w:fldChar w:fldCharType="end"/>
      </w:r>
      <w:r>
        <w:rPr>
          <w:rStyle w:val="CharStyle13"/>
          <w:lang w:val="en-US" w:eastAsia="en-US"/>
        </w:rPr>
        <w:t xml:space="preserve">, </w:t>
      </w:r>
      <w:r>
        <w:fldChar w:fldCharType="begin"/>
      </w:r>
      <w:r>
        <w:rPr/>
        <w:instrText> HYPERLINK "mailto:marketing@etpgpb.ru" </w:instrText>
      </w:r>
      <w:r>
        <w:fldChar w:fldCharType="separate"/>
      </w:r>
      <w:r>
        <w:rPr>
          <w:rStyle w:val="CharStyle13"/>
          <w:lang w:val="en-US" w:eastAsia="en-US"/>
        </w:rPr>
        <w:t>marketing@etpgpb.ru</w:t>
      </w:r>
      <w:r>
        <w:fldChar w:fldCharType="end"/>
      </w:r>
    </w:p>
    <w:p>
      <w:pPr>
        <w:widowControl w:val="0"/>
        <w:spacing w:line="240" w:lineRule="exact"/>
        <w:rPr>
          <w:sz w:val="19"/>
          <w:szCs w:val="19"/>
        </w:rPr>
      </w:pPr>
    </w:p>
    <w:p>
      <w:pPr>
        <w:widowControl w:val="0"/>
        <w:spacing w:before="61" w:after="6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37" w:right="0" w:bottom="1297"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 052/06/105-1132/2026</w:t>
      </w:r>
    </w:p>
    <w:p>
      <w:pPr>
        <w:pStyle w:val="Style12"/>
        <w:keepNext w:val="0"/>
        <w:keepLines w:val="0"/>
        <w:widowControl w:val="0"/>
        <w:shd w:val="clear" w:color="auto" w:fill="auto"/>
        <w:bidi w:val="0"/>
        <w:spacing w:before="0" w:after="260" w:line="240" w:lineRule="auto"/>
        <w:ind w:left="0" w:right="20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1185545" cy="231775"/>
                <wp:wrapSquare wrapText="right"/>
                <wp:docPr id="9" name="Shape 9"/>
                <a:graphic xmlns:a="http://schemas.openxmlformats.org/drawingml/2006/main">
                  <a:graphicData uri="http://schemas.microsoft.com/office/word/2010/wordprocessingShape">
                    <wps:wsp>
                      <wps:cNvSpPr txBox="1"/>
                      <wps:spPr>
                        <a:xfrm>
                          <a:ext cx="1185545" cy="2317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12 мая 2026 года</w:t>
                            </w:r>
                          </w:p>
                        </w:txbxContent>
                      </wps:txbx>
                      <wps:bodyPr wrap="none" lIns="0" tIns="0" rIns="0" bIns="0">
                        <a:noAutoFit/>
                      </wps:bodyPr>
                    </wps:wsp>
                  </a:graphicData>
                </a:graphic>
              </wp:anchor>
            </w:drawing>
          </mc:Choice>
          <mc:Fallback>
            <w:pict>
              <v:shape id="_x0000_s1035" type="#_x0000_t202" style="position:absolute;margin-left:56.75pt;margin-top:1.pt;width:93.350000000000009pt;height:18.2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12 мая 2026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60" w:line="240" w:lineRule="auto"/>
        <w:ind w:left="0" w:right="0" w:firstLine="70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3"/>
        </w:numPr>
        <w:shd w:val="clear" w:color="auto" w:fill="auto"/>
        <w:tabs>
          <w:tab w:pos="291" w:val="left"/>
        </w:tabs>
        <w:bidi w:val="0"/>
        <w:spacing w:before="0" w:after="0" w:line="240" w:lineRule="auto"/>
        <w:ind w:left="0" w:right="0" w:firstLine="0"/>
        <w:jc w:val="left"/>
      </w:pPr>
      <w:r>
        <w:rPr>
          <w:rStyle w:val="CharStyle13"/>
        </w:rPr>
        <w:t>Баранова И.В. - председателя комиссии, заместителя руководителя Управления,</w:t>
      </w:r>
    </w:p>
    <w:p>
      <w:pPr>
        <w:pStyle w:val="Style12"/>
        <w:keepNext w:val="0"/>
        <w:keepLines w:val="0"/>
        <w:widowControl w:val="0"/>
        <w:numPr>
          <w:ilvl w:val="0"/>
          <w:numId w:val="3"/>
        </w:numPr>
        <w:shd w:val="clear" w:color="auto" w:fill="auto"/>
        <w:tabs>
          <w:tab w:pos="291" w:val="left"/>
        </w:tabs>
        <w:bidi w:val="0"/>
        <w:spacing w:before="0" w:after="0" w:line="240" w:lineRule="auto"/>
        <w:ind w:left="0" w:right="0" w:firstLine="0"/>
        <w:jc w:val="left"/>
      </w:pPr>
      <w:r>
        <w:rPr>
          <w:rStyle w:val="CharStyle13"/>
        </w:rPr>
        <w:t>Колденкова Д.А. - члена комиссии, специалиста-эксперта отдела контроля торгов,</w:t>
      </w:r>
    </w:p>
    <w:p>
      <w:pPr>
        <w:pStyle w:val="Style12"/>
        <w:keepNext w:val="0"/>
        <w:keepLines w:val="0"/>
        <w:widowControl w:val="0"/>
        <w:numPr>
          <w:ilvl w:val="0"/>
          <w:numId w:val="3"/>
        </w:numPr>
        <w:shd w:val="clear" w:color="auto" w:fill="auto"/>
        <w:tabs>
          <w:tab w:pos="291" w:val="left"/>
        </w:tabs>
        <w:bidi w:val="0"/>
        <w:spacing w:before="0" w:after="260" w:line="240" w:lineRule="auto"/>
        <w:ind w:left="2460" w:right="0" w:hanging="2460"/>
        <w:jc w:val="both"/>
      </w:pPr>
      <w:r>
        <w:rPr>
          <w:rStyle w:val="CharStyle13"/>
        </w:rPr>
        <w:t>Лебедевой Ю.К. - члена комиссии, специалиста-эксперта отдела контроля государственных и муниципальных закупок,</w:t>
      </w:r>
    </w:p>
    <w:p>
      <w:pPr>
        <w:pStyle w:val="Style12"/>
        <w:keepNext w:val="0"/>
        <w:keepLines w:val="0"/>
        <w:widowControl w:val="0"/>
        <w:shd w:val="clear" w:color="auto" w:fill="auto"/>
        <w:bidi w:val="0"/>
        <w:spacing w:before="0" w:after="260" w:line="240" w:lineRule="auto"/>
        <w:ind w:left="2460" w:right="0" w:hanging="2460"/>
        <w:jc w:val="both"/>
      </w:pPr>
      <w:r>
        <w:rPr>
          <w:rStyle w:val="CharStyle13"/>
        </w:rPr>
        <w:t>при участии посредством видео-конференц-связи:</w:t>
      </w:r>
    </w:p>
    <w:p>
      <w:pPr>
        <w:pStyle w:val="Style12"/>
        <w:keepNext w:val="0"/>
        <w:keepLines w:val="0"/>
        <w:widowControl w:val="0"/>
        <w:numPr>
          <w:ilvl w:val="0"/>
          <w:numId w:val="5"/>
        </w:numPr>
        <w:shd w:val="clear" w:color="auto" w:fill="auto"/>
        <w:tabs>
          <w:tab w:pos="491" w:val="left"/>
        </w:tabs>
        <w:bidi w:val="0"/>
        <w:spacing w:before="0" w:after="0" w:line="240" w:lineRule="auto"/>
        <w:ind w:left="0" w:right="0" w:firstLine="200"/>
        <w:jc w:val="left"/>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237615" cy="1374775"/>
                <wp:wrapSquare wrapText="right"/>
                <wp:docPr id="11" name="Shape 11"/>
                <a:graphic xmlns:a="http://schemas.openxmlformats.org/drawingml/2006/main">
                  <a:graphicData uri="http://schemas.microsoft.com/office/word/2010/wordprocessingShape">
                    <wps:wsp>
                      <wps:cNvSpPr txBox="1"/>
                      <wps:spPr>
                        <a:xfrm>
                          <a:ext cx="1237615" cy="1374775"/>
                        </a:xfrm>
                        <a:prstGeom prst="rect"/>
                        <a:noFill/>
                      </wps:spPr>
                      <wps:txbx>
                        <w:txbxContent>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Исакова Р.В.</w:t>
                            </w:r>
                          </w:p>
                          <w:p>
                            <w:pPr>
                              <w:pStyle w:val="Style12"/>
                              <w:keepNext w:val="0"/>
                              <w:keepLines w:val="0"/>
                              <w:widowControl w:val="0"/>
                              <w:numPr>
                                <w:ilvl w:val="0"/>
                                <w:numId w:val="1"/>
                              </w:numPr>
                              <w:shd w:val="clear" w:color="auto" w:fill="auto"/>
                              <w:tabs>
                                <w:tab w:pos="154" w:val="left"/>
                              </w:tabs>
                              <w:bidi w:val="0"/>
                              <w:spacing w:before="0" w:after="260" w:line="240" w:lineRule="auto"/>
                              <w:ind w:left="0" w:right="0" w:firstLine="0"/>
                              <w:jc w:val="left"/>
                            </w:pPr>
                            <w:r>
                              <w:rPr>
                                <w:rStyle w:val="CharStyle13"/>
                              </w:rPr>
                              <w:t>Хлюнева А.Н.</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Корсаниди Н.В.</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Аранович Н.А.</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Барановой С.В.</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Лашко Г.Н.</w:t>
                            </w:r>
                          </w:p>
                        </w:txbxContent>
                      </wps:txbx>
                      <wps:bodyPr lIns="0" tIns="0" rIns="0" bIns="0">
                        <a:noAutoFit/>
                      </wps:bodyPr>
                    </wps:wsp>
                  </a:graphicData>
                </a:graphic>
              </wp:anchor>
            </w:drawing>
          </mc:Choice>
          <mc:Fallback>
            <w:pict>
              <v:shape id="_x0000_s1037" type="#_x0000_t202" style="position:absolute;margin-left:55.800000000000004pt;margin-top:1.pt;width:97.450000000000003pt;height:108.25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Исакова Р.В.</w:t>
                      </w:r>
                    </w:p>
                    <w:p>
                      <w:pPr>
                        <w:pStyle w:val="Style12"/>
                        <w:keepNext w:val="0"/>
                        <w:keepLines w:val="0"/>
                        <w:widowControl w:val="0"/>
                        <w:numPr>
                          <w:ilvl w:val="0"/>
                          <w:numId w:val="1"/>
                        </w:numPr>
                        <w:shd w:val="clear" w:color="auto" w:fill="auto"/>
                        <w:tabs>
                          <w:tab w:pos="154" w:val="left"/>
                        </w:tabs>
                        <w:bidi w:val="0"/>
                        <w:spacing w:before="0" w:after="260" w:line="240" w:lineRule="auto"/>
                        <w:ind w:left="0" w:right="0" w:firstLine="0"/>
                        <w:jc w:val="left"/>
                      </w:pPr>
                      <w:r>
                        <w:rPr>
                          <w:rStyle w:val="CharStyle13"/>
                        </w:rPr>
                        <w:t>Хлюнева А.Н.</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Корсаниди Н.В.</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Аранович Н.А.</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Барановой С.В.</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Лашко Г.Н.</w:t>
                      </w:r>
                    </w:p>
                  </w:txbxContent>
                </v:textbox>
                <w10:wrap type="square" side="right" anchorx="page"/>
              </v:shape>
            </w:pict>
          </mc:Fallback>
        </mc:AlternateContent>
      </w:r>
      <w:r>
        <w:rPr>
          <w:rStyle w:val="CharStyle13"/>
        </w:rPr>
        <w:t>директора ООО «ДДТ-СЕРВИС»;</w:t>
      </w:r>
    </w:p>
    <w:p>
      <w:pPr>
        <w:pStyle w:val="Style12"/>
        <w:keepNext w:val="0"/>
        <w:keepLines w:val="0"/>
        <w:widowControl w:val="0"/>
        <w:numPr>
          <w:ilvl w:val="0"/>
          <w:numId w:val="5"/>
        </w:numPr>
        <w:shd w:val="clear" w:color="auto" w:fill="auto"/>
        <w:tabs>
          <w:tab w:pos="506" w:val="left"/>
        </w:tabs>
        <w:bidi w:val="0"/>
        <w:spacing w:before="0" w:after="0" w:line="240" w:lineRule="auto"/>
        <w:ind w:left="380" w:right="0" w:hanging="180"/>
        <w:jc w:val="both"/>
      </w:pPr>
      <w:r>
        <w:rPr>
          <w:rStyle w:val="CharStyle13"/>
        </w:rPr>
        <w:t>представителя ООО «ДДТ-СЕРВИС» по доверенности от 07.05.2026 № 14;</w:t>
      </w:r>
    </w:p>
    <w:p>
      <w:pPr>
        <w:pStyle w:val="Style12"/>
        <w:keepNext w:val="0"/>
        <w:keepLines w:val="0"/>
        <w:widowControl w:val="0"/>
        <w:numPr>
          <w:ilvl w:val="0"/>
          <w:numId w:val="5"/>
        </w:numPr>
        <w:shd w:val="clear" w:color="auto" w:fill="auto"/>
        <w:tabs>
          <w:tab w:pos="491" w:val="left"/>
        </w:tabs>
        <w:bidi w:val="0"/>
        <w:spacing w:before="0" w:after="0" w:line="240" w:lineRule="auto"/>
        <w:ind w:left="0" w:right="0" w:firstLine="200"/>
        <w:jc w:val="left"/>
      </w:pPr>
      <w:r>
        <w:rPr>
          <w:rStyle w:val="CharStyle13"/>
        </w:rPr>
        <w:t>представителя МБУ «ФОК» по доверенности от 06.05.2026 № 11;</w:t>
      </w:r>
    </w:p>
    <w:p>
      <w:pPr>
        <w:pStyle w:val="Style12"/>
        <w:keepNext w:val="0"/>
        <w:keepLines w:val="0"/>
        <w:widowControl w:val="0"/>
        <w:numPr>
          <w:ilvl w:val="0"/>
          <w:numId w:val="5"/>
        </w:numPr>
        <w:shd w:val="clear" w:color="auto" w:fill="auto"/>
        <w:tabs>
          <w:tab w:pos="491" w:val="left"/>
        </w:tabs>
        <w:bidi w:val="0"/>
        <w:spacing w:before="0" w:after="0" w:line="240" w:lineRule="auto"/>
        <w:ind w:left="0" w:right="0" w:firstLine="200"/>
        <w:jc w:val="left"/>
      </w:pPr>
      <w:r>
        <w:rPr>
          <w:rStyle w:val="CharStyle13"/>
        </w:rPr>
        <w:t>директора МБУ «ФОК»;</w:t>
      </w:r>
    </w:p>
    <w:p>
      <w:pPr>
        <w:pStyle w:val="Style12"/>
        <w:keepNext w:val="0"/>
        <w:keepLines w:val="0"/>
        <w:widowControl w:val="0"/>
        <w:numPr>
          <w:ilvl w:val="0"/>
          <w:numId w:val="5"/>
        </w:numPr>
        <w:shd w:val="clear" w:color="auto" w:fill="auto"/>
        <w:tabs>
          <w:tab w:pos="491" w:val="left"/>
        </w:tabs>
        <w:bidi w:val="0"/>
        <w:spacing w:before="0" w:after="0" w:line="240" w:lineRule="auto"/>
        <w:ind w:left="0" w:right="0" w:firstLine="200"/>
        <w:jc w:val="left"/>
      </w:pPr>
      <w:r>
        <w:rPr>
          <w:rStyle w:val="CharStyle13"/>
        </w:rPr>
        <w:t>и.о. директора МБУ «ФОК»;</w:t>
      </w:r>
    </w:p>
    <w:p>
      <w:pPr>
        <w:pStyle w:val="Style12"/>
        <w:keepNext w:val="0"/>
        <w:keepLines w:val="0"/>
        <w:widowControl w:val="0"/>
        <w:numPr>
          <w:ilvl w:val="0"/>
          <w:numId w:val="5"/>
        </w:numPr>
        <w:shd w:val="clear" w:color="auto" w:fill="auto"/>
        <w:tabs>
          <w:tab w:pos="506" w:val="left"/>
        </w:tabs>
        <w:bidi w:val="0"/>
        <w:spacing w:before="0" w:after="260" w:line="240" w:lineRule="auto"/>
        <w:ind w:left="380" w:right="0" w:hanging="180"/>
        <w:jc w:val="both"/>
      </w:pPr>
      <w:r>
        <w:rPr>
          <w:rStyle w:val="CharStyle13"/>
        </w:rPr>
        <w:t>представителя Администрации города Дзержинска Нижегородской области по доверенности от 20.01.2026 № Сл-150-33910/26,</w:t>
      </w:r>
    </w:p>
    <w:p>
      <w:pPr>
        <w:pStyle w:val="Style12"/>
        <w:keepNext w:val="0"/>
        <w:keepLines w:val="0"/>
        <w:widowControl w:val="0"/>
        <w:shd w:val="clear" w:color="auto" w:fill="auto"/>
        <w:bidi w:val="0"/>
        <w:spacing w:before="0" w:after="260" w:line="240" w:lineRule="auto"/>
        <w:ind w:left="0" w:right="0" w:firstLine="0"/>
        <w:jc w:val="both"/>
      </w:pPr>
      <w:r>
        <w:rPr>
          <w:rStyle w:val="CharStyle13"/>
        </w:rPr>
        <w:t>рассмотрев посредством видео-конференц-связи жалобу общества с ограниченной ответственностью «ДДТ-СЕРВИС» (далее также – ООО «ДДТ-СЕРВИС», заявитель) о нарушении Муниципальным бюджетным учреждением дополнительного образования «Спортивная школа «Физкультурно-оздоровительный комплекс «ОКА»» (далее – МБУ</w:t>
      </w:r>
    </w:p>
    <w:p>
      <w:pPr>
        <w:widowControl w:val="0"/>
        <w:spacing w:line="1" w:lineRule="exact"/>
      </w:pPr>
      <w:r>
        <w:drawing>
          <wp:anchor distT="101600" distB="0" distL="0" distR="0" simplePos="0" relativeHeight="125829382" behindDoc="0" locked="0" layoutInCell="1" allowOverlap="1">
            <wp:simplePos x="0" y="0"/>
            <wp:positionH relativeFrom="page">
              <wp:posOffset>699135</wp:posOffset>
            </wp:positionH>
            <wp:positionV relativeFrom="paragraph">
              <wp:posOffset>101600</wp:posOffset>
            </wp:positionV>
            <wp:extent cx="1334770" cy="45085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334770" cy="450850"/>
                    </a:xfrm>
                    <a:prstGeom prst="rect"/>
                  </pic:spPr>
                </pic:pic>
              </a:graphicData>
            </a:graphic>
          </wp:anchor>
        </w:drawing>
      </w:r>
    </w:p>
    <w:p>
      <w:pPr>
        <w:pStyle w:val="Style12"/>
        <w:keepNext w:val="0"/>
        <w:keepLines w:val="0"/>
        <w:widowControl w:val="0"/>
        <w:shd w:val="clear" w:color="auto" w:fill="auto"/>
        <w:bidi w:val="0"/>
        <w:spacing w:before="0" w:after="260" w:line="240" w:lineRule="auto"/>
        <w:ind w:left="0" w:right="0" w:firstLine="0"/>
        <w:jc w:val="both"/>
      </w:pPr>
      <w:r>
        <w:rPr>
          <w:rStyle w:val="CharStyle13"/>
        </w:rPr>
        <w:t xml:space="preserve">«ФОК», Заказчик)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«Монтаж системы пожарной сигнализации и системы оповещения и управления эвакуацией (176-ЭА-26-МН)», номер извещения </w:t>
      </w:r>
      <w:r>
        <w:rPr>
          <w:rStyle w:val="CharStyle13"/>
          <w:lang w:val="en-US" w:eastAsia="en-US"/>
        </w:rPr>
        <w:t>0132300001726000162,</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«Монтаж системы пожарной сигнализации и системы оповещения и управления эвакуацией (176-ЭА-26-МН)», номер извещения </w:t>
      </w:r>
      <w:r>
        <w:rPr>
          <w:rStyle w:val="CharStyle13"/>
          <w:lang w:val="en-US" w:eastAsia="en-US"/>
        </w:rPr>
        <w:t>0132300001726000162.</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Представитель заказчика на заседании Комиссии Нижегородского УФАС России с доводами, изложенными в жалобе заявителя, не согласился, факт нарушений требований Закона о контрактной системе не признал, считает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ходе заседания Комиссии Нижегородского УФАС России </w:t>
      </w:r>
      <w:r>
        <w:rPr>
          <w:rStyle w:val="CharStyle13"/>
          <w:lang w:val="en-US" w:eastAsia="en-US"/>
        </w:rPr>
        <w:t xml:space="preserve">07.05.2026 </w:t>
      </w:r>
      <w:r>
        <w:rPr>
          <w:rStyle w:val="CharStyle13"/>
        </w:rPr>
        <w:t xml:space="preserve">Комиссией в целях полного и всестороннего рассмотрения сведений объявлен перерыв, заседание продолжилось в </w:t>
      </w:r>
      <w:r>
        <w:rPr>
          <w:rStyle w:val="CharStyle13"/>
          <w:lang w:val="en-US" w:eastAsia="en-US"/>
        </w:rPr>
        <w:t xml:space="preserve">14 </w:t>
      </w:r>
      <w:r>
        <w:rPr>
          <w:rStyle w:val="CharStyle13"/>
        </w:rPr>
        <w:t xml:space="preserve">часов </w:t>
      </w:r>
      <w:r>
        <w:rPr>
          <w:rStyle w:val="CharStyle13"/>
          <w:lang w:val="en-US" w:eastAsia="en-US"/>
        </w:rPr>
        <w:t xml:space="preserve">00 </w:t>
      </w:r>
      <w:r>
        <w:rPr>
          <w:rStyle w:val="CharStyle13"/>
        </w:rPr>
        <w:t xml:space="preserve">минут </w:t>
      </w:r>
      <w:r>
        <w:rPr>
          <w:rStyle w:val="CharStyle13"/>
          <w:lang w:val="en-US" w:eastAsia="en-US"/>
        </w:rPr>
        <w:t>08.05.2026.</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ходе заседания Комиссии Нижегородского УФАС России </w:t>
      </w:r>
      <w:r>
        <w:rPr>
          <w:rStyle w:val="CharStyle13"/>
          <w:lang w:val="en-US" w:eastAsia="en-US"/>
        </w:rPr>
        <w:t xml:space="preserve">08.05.2026 </w:t>
      </w:r>
      <w:r>
        <w:rPr>
          <w:rStyle w:val="CharStyle13"/>
        </w:rPr>
        <w:t xml:space="preserve">Комиссией в целях полного и всестороннего рассмотрения сведений объявлен перерыв, заседание продолжилось в </w:t>
      </w:r>
      <w:r>
        <w:rPr>
          <w:rStyle w:val="CharStyle13"/>
          <w:lang w:val="en-US" w:eastAsia="en-US"/>
        </w:rPr>
        <w:t xml:space="preserve">12 </w:t>
      </w:r>
      <w:r>
        <w:rPr>
          <w:rStyle w:val="CharStyle13"/>
        </w:rPr>
        <w:t xml:space="preserve">часов </w:t>
      </w:r>
      <w:r>
        <w:rPr>
          <w:rStyle w:val="CharStyle13"/>
          <w:lang w:val="en-US" w:eastAsia="en-US"/>
        </w:rPr>
        <w:t xml:space="preserve">00 </w:t>
      </w:r>
      <w:r>
        <w:rPr>
          <w:rStyle w:val="CharStyle13"/>
        </w:rPr>
        <w:t xml:space="preserve">минут </w:t>
      </w:r>
      <w:r>
        <w:rPr>
          <w:rStyle w:val="CharStyle13"/>
          <w:lang w:val="en-US" w:eastAsia="en-US"/>
        </w:rPr>
        <w:t>12.05.2026.</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ходе заседания Комиссии Нижегородского УФАС России </w:t>
      </w:r>
      <w:r>
        <w:rPr>
          <w:rStyle w:val="CharStyle13"/>
          <w:lang w:val="en-US" w:eastAsia="en-US"/>
        </w:rPr>
        <w:t xml:space="preserve">12.05.2026 </w:t>
      </w:r>
      <w:r>
        <w:rPr>
          <w:rStyle w:val="CharStyle13"/>
        </w:rPr>
        <w:t xml:space="preserve">Комиссией в целях полного и всестороннего рассмотрения сведений объявлен перерыв, заседание продолжилось в </w:t>
      </w:r>
      <w:r>
        <w:rPr>
          <w:rStyle w:val="CharStyle13"/>
          <w:lang w:val="en-US" w:eastAsia="en-US"/>
        </w:rPr>
        <w:t xml:space="preserve">16 </w:t>
      </w:r>
      <w:r>
        <w:rPr>
          <w:rStyle w:val="CharStyle13"/>
        </w:rPr>
        <w:t xml:space="preserve">часов </w:t>
      </w:r>
      <w:r>
        <w:rPr>
          <w:rStyle w:val="CharStyle13"/>
          <w:lang w:val="en-US" w:eastAsia="en-US"/>
        </w:rPr>
        <w:t xml:space="preserve">30 </w:t>
      </w:r>
      <w:r>
        <w:rPr>
          <w:rStyle w:val="CharStyle13"/>
        </w:rPr>
        <w:t xml:space="preserve">минут </w:t>
      </w:r>
      <w:r>
        <w:rPr>
          <w:rStyle w:val="CharStyle13"/>
          <w:lang w:val="en-US" w:eastAsia="en-US"/>
        </w:rPr>
        <w:t>12.05.2026.</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7"/>
        </w:numPr>
        <w:shd w:val="clear" w:color="auto" w:fill="auto"/>
        <w:tabs>
          <w:tab w:pos="1090" w:val="left"/>
        </w:tabs>
        <w:bidi w:val="0"/>
        <w:spacing w:before="0" w:after="0" w:line="240" w:lineRule="auto"/>
        <w:ind w:left="0" w:right="0" w:firstLine="740"/>
        <w:jc w:val="both"/>
      </w:pPr>
      <w:r>
        <w:rPr>
          <w:rStyle w:val="CharStyle13"/>
          <w:lang w:val="en-US" w:eastAsia="en-US"/>
        </w:rPr>
        <w:t xml:space="preserve">08.04.2026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ЭТП Газпромбанк </w:t>
      </w:r>
      <w:r>
        <w:rPr>
          <w:rStyle w:val="CharStyle13"/>
          <w:lang w:val="en-US" w:eastAsia="en-US"/>
        </w:rPr>
        <w:t xml:space="preserve">– </w:t>
      </w:r>
      <w:r>
        <w:rPr>
          <w:rStyle w:val="CharStyle13"/>
        </w:rPr>
        <w:t xml:space="preserve">размещено извещение по объекту закупки: «Монтаж системы пожарной сигнализации и системы оповещения и управления эвакуацией </w:t>
      </w:r>
      <w:r>
        <w:rPr>
          <w:rStyle w:val="CharStyle13"/>
          <w:lang w:val="en-US" w:eastAsia="en-US"/>
        </w:rPr>
        <w:t xml:space="preserve">(176- </w:t>
      </w:r>
      <w:r>
        <w:rPr>
          <w:rStyle w:val="CharStyle13"/>
        </w:rPr>
        <w:t xml:space="preserve">ЭА-26-МН)», номер извещения </w:t>
      </w:r>
      <w:r>
        <w:rPr>
          <w:rStyle w:val="CharStyle13"/>
          <w:lang w:val="en-US" w:eastAsia="en-US"/>
        </w:rPr>
        <w:t>0132300001726000162.</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Начальная (максимальная) цена контракта </w:t>
      </w:r>
      <w:r>
        <w:rPr>
          <w:rStyle w:val="CharStyle13"/>
          <w:lang w:val="en-US" w:eastAsia="en-US"/>
        </w:rPr>
        <w:t xml:space="preserve">— 12 363 686,29 </w:t>
      </w:r>
      <w:r>
        <w:rPr>
          <w:rStyle w:val="CharStyle13"/>
        </w:rPr>
        <w:t>руб.</w:t>
      </w:r>
    </w:p>
    <w:p>
      <w:pPr>
        <w:pStyle w:val="Style12"/>
        <w:keepNext w:val="0"/>
        <w:keepLines w:val="0"/>
        <w:widowControl w:val="0"/>
        <w:numPr>
          <w:ilvl w:val="0"/>
          <w:numId w:val="7"/>
        </w:numPr>
        <w:shd w:val="clear" w:color="auto" w:fill="auto"/>
        <w:tabs>
          <w:tab w:pos="1090" w:val="left"/>
        </w:tabs>
        <w:bidi w:val="0"/>
        <w:spacing w:before="0" w:after="0" w:line="240" w:lineRule="auto"/>
        <w:ind w:left="0" w:right="0" w:firstLine="740"/>
        <w:jc w:val="both"/>
      </w:pPr>
      <w:r>
        <w:rPr>
          <w:rStyle w:val="CharStyle13"/>
        </w:rPr>
        <w:t>Заявитель не согласен с действиями заказчика при заключении контракта, считает их нарушающими права и законные интересы заявителя.</w:t>
      </w:r>
    </w:p>
    <w:p>
      <w:pPr>
        <w:pStyle w:val="Style12"/>
        <w:keepNext w:val="0"/>
        <w:keepLines w:val="0"/>
        <w:widowControl w:val="0"/>
        <w:shd w:val="clear" w:color="auto" w:fill="auto"/>
        <w:bidi w:val="0"/>
        <w:spacing w:before="0" w:after="280" w:line="240" w:lineRule="auto"/>
        <w:ind w:left="0" w:right="0" w:firstLine="740"/>
        <w:jc w:val="both"/>
      </w:pPr>
      <w:r>
        <w:rPr>
          <w:rStyle w:val="CharStyle13"/>
        </w:rPr>
        <w:t xml:space="preserve">Порядок заключения контракта по результатам электронной процедуры установлен статьей </w:t>
      </w:r>
      <w:r>
        <w:rPr>
          <w:rStyle w:val="CharStyle13"/>
          <w:lang w:val="en-US" w:eastAsia="en-US"/>
        </w:rPr>
        <w:t xml:space="preserve">51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Так, 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51 </w:t>
      </w:r>
      <w:r>
        <w:rPr>
          <w:rStyle w:val="CharStyle13"/>
        </w:rPr>
        <w:t xml:space="preserve">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названным Федеральным законом, с иным участником закупки (далее в названной статье </w:t>
      </w:r>
      <w:r>
        <w:rPr>
          <w:rStyle w:val="CharStyle13"/>
          <w:lang w:val="en-US" w:eastAsia="en-US"/>
        </w:rPr>
        <w:t xml:space="preserve">- </w:t>
      </w:r>
      <w:r>
        <w:rPr>
          <w:rStyle w:val="CharStyle13"/>
        </w:rPr>
        <w:t xml:space="preserve">участник закупки, с которым заключается контракт) не ранее чем через десять дней (если названным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w:t>
      </w:r>
      <w:r>
        <w:rPr>
          <w:rStyle w:val="CharStyle13"/>
          <w:lang w:val="en-US" w:eastAsia="en-US"/>
        </w:rPr>
        <w:t xml:space="preserve">2 </w:t>
      </w:r>
      <w:r>
        <w:rPr>
          <w:rStyle w:val="CharStyle13"/>
        </w:rPr>
        <w:t xml:space="preserve">части </w:t>
      </w:r>
      <w:r>
        <w:rPr>
          <w:rStyle w:val="CharStyle13"/>
          <w:lang w:val="en-US" w:eastAsia="en-US"/>
        </w:rPr>
        <w:t xml:space="preserve">6 </w:t>
      </w:r>
      <w:r>
        <w:rPr>
          <w:rStyle w:val="CharStyle13"/>
        </w:rPr>
        <w:t>названной статьи, после предоставления участником закупки, с которым заключается контракт, обеспечения исполнения контракта в соответствии с требованиями названного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названным Федеральным законом, обязаны подписать контракт в порядке, установленном названной статьей.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51 </w:t>
      </w:r>
      <w:r>
        <w:rPr>
          <w:rStyle w:val="CharStyle13"/>
        </w:rPr>
        <w:t xml:space="preserve">Закона о контрактной системе не позднее двух рабочих дней, следующих за днем размещения в единой информационной системе протоколов, указанных в части </w:t>
      </w:r>
      <w:r>
        <w:rPr>
          <w:rStyle w:val="CharStyle13"/>
          <w:lang w:val="en-US" w:eastAsia="en-US"/>
        </w:rPr>
        <w:t xml:space="preserve">1 </w:t>
      </w:r>
      <w:r>
        <w:rPr>
          <w:rStyle w:val="CharStyle13"/>
        </w:rPr>
        <w:t>настоящей статьи:</w:t>
      </w:r>
    </w:p>
    <w:p>
      <w:pPr>
        <w:pStyle w:val="Style12"/>
        <w:keepNext w:val="0"/>
        <w:keepLines w:val="0"/>
        <w:widowControl w:val="0"/>
        <w:numPr>
          <w:ilvl w:val="0"/>
          <w:numId w:val="9"/>
        </w:numPr>
        <w:shd w:val="clear" w:color="auto" w:fill="auto"/>
        <w:tabs>
          <w:tab w:pos="1100" w:val="left"/>
        </w:tabs>
        <w:bidi w:val="0"/>
        <w:spacing w:before="0" w:after="0" w:line="240" w:lineRule="auto"/>
        <w:ind w:left="0" w:right="0" w:firstLine="760"/>
        <w:jc w:val="both"/>
      </w:pPr>
      <w:r>
        <w:rPr>
          <w:rStyle w:val="CharStyle13"/>
        </w:rPr>
        <w:t xml:space="preserve">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w:t>
      </w:r>
      <w:r>
        <w:rPr>
          <w:rStyle w:val="CharStyle13"/>
          <w:lang w:val="en-US" w:eastAsia="en-US"/>
        </w:rPr>
        <w:t xml:space="preserve">5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настоящего Федерального закона, который должен содержать:</w:t>
      </w:r>
    </w:p>
    <w:p>
      <w:pPr>
        <w:pStyle w:val="Style12"/>
        <w:keepNext w:val="0"/>
        <w:keepLines w:val="0"/>
        <w:widowControl w:val="0"/>
        <w:numPr>
          <w:ilvl w:val="0"/>
          <w:numId w:val="11"/>
        </w:numPr>
        <w:shd w:val="clear" w:color="auto" w:fill="auto"/>
        <w:tabs>
          <w:tab w:pos="1076" w:val="left"/>
        </w:tabs>
        <w:bidi w:val="0"/>
        <w:spacing w:before="0" w:after="0" w:line="240" w:lineRule="auto"/>
        <w:ind w:left="0" w:right="0" w:firstLine="760"/>
        <w:jc w:val="both"/>
      </w:pPr>
      <w:r>
        <w:rPr>
          <w:rStyle w:val="CharStyle13"/>
        </w:rPr>
        <w:t xml:space="preserve">информацию, предусмотренную частью </w:t>
      </w:r>
      <w:r>
        <w:rPr>
          <w:rStyle w:val="CharStyle13"/>
          <w:lang w:val="en-US" w:eastAsia="en-US"/>
        </w:rPr>
        <w:t xml:space="preserve">6 </w:t>
      </w:r>
      <w:r>
        <w:rPr>
          <w:rStyle w:val="CharStyle13"/>
        </w:rPr>
        <w:t xml:space="preserve">статьи </w:t>
      </w:r>
      <w:r>
        <w:rPr>
          <w:rStyle w:val="CharStyle13"/>
          <w:lang w:val="en-US" w:eastAsia="en-US"/>
        </w:rPr>
        <w:t xml:space="preserve">30, </w:t>
      </w:r>
      <w:r>
        <w:rPr>
          <w:rStyle w:val="CharStyle13"/>
        </w:rPr>
        <w:t xml:space="preserve">пунктами </w:t>
      </w:r>
      <w:r>
        <w:rPr>
          <w:rStyle w:val="CharStyle13"/>
          <w:lang w:val="en-US" w:eastAsia="en-US"/>
        </w:rPr>
        <w:t xml:space="preserve">1, 2, 5 - 8, 10, 17, 18 </w:t>
      </w:r>
      <w:r>
        <w:rPr>
          <w:rStyle w:val="CharStyle13"/>
        </w:rPr>
        <w:t xml:space="preserve">и </w:t>
      </w:r>
      <w:r>
        <w:rPr>
          <w:rStyle w:val="CharStyle13"/>
          <w:lang w:val="en-US" w:eastAsia="en-US"/>
        </w:rPr>
        <w:t xml:space="preserve">20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настоящего Федерального закона;</w:t>
      </w:r>
    </w:p>
    <w:p>
      <w:pPr>
        <w:pStyle w:val="Style12"/>
        <w:keepNext w:val="0"/>
        <w:keepLines w:val="0"/>
        <w:widowControl w:val="0"/>
        <w:numPr>
          <w:ilvl w:val="0"/>
          <w:numId w:val="11"/>
        </w:numPr>
        <w:shd w:val="clear" w:color="auto" w:fill="auto"/>
        <w:tabs>
          <w:tab w:pos="1095" w:val="left"/>
        </w:tabs>
        <w:bidi w:val="0"/>
        <w:spacing w:before="0" w:after="0" w:line="240" w:lineRule="auto"/>
        <w:ind w:left="0" w:right="0" w:firstLine="760"/>
        <w:jc w:val="both"/>
      </w:pPr>
      <w:r>
        <w:rPr>
          <w:rStyle w:val="CharStyle13"/>
        </w:rPr>
        <w:t xml:space="preserve">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w:t>
      </w:r>
      <w:r>
        <w:rPr>
          <w:rStyle w:val="CharStyle13"/>
          <w:lang w:val="en-US" w:eastAsia="en-US"/>
        </w:rPr>
        <w:t xml:space="preserve">14 </w:t>
      </w:r>
      <w:r>
        <w:rPr>
          <w:rStyle w:val="CharStyle13"/>
        </w:rPr>
        <w:t xml:space="preserve">настоящего Федерального закона, положений статей </w:t>
      </w:r>
      <w:r>
        <w:rPr>
          <w:rStyle w:val="CharStyle13"/>
          <w:lang w:val="en-US" w:eastAsia="en-US"/>
        </w:rPr>
        <w:t xml:space="preserve">28 </w:t>
      </w:r>
      <w:r>
        <w:rPr>
          <w:rStyle w:val="CharStyle13"/>
        </w:rPr>
        <w:t xml:space="preserve">и </w:t>
      </w:r>
      <w:r>
        <w:rPr>
          <w:rStyle w:val="CharStyle13"/>
          <w:lang w:val="en-US" w:eastAsia="en-US"/>
        </w:rPr>
        <w:t xml:space="preserve">29 </w:t>
      </w:r>
      <w:r>
        <w:rPr>
          <w:rStyle w:val="CharStyle13"/>
        </w:rPr>
        <w:t xml:space="preserve">настоящего Федерального закона, цену каждого отдельного этапа исполнения контракта, определенную 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34 </w:t>
      </w:r>
      <w:r>
        <w:rPr>
          <w:rStyle w:val="CharStyle13"/>
        </w:rPr>
        <w:t>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pPr>
        <w:pStyle w:val="Style12"/>
        <w:keepNext w:val="0"/>
        <w:keepLines w:val="0"/>
        <w:widowControl w:val="0"/>
        <w:numPr>
          <w:ilvl w:val="0"/>
          <w:numId w:val="11"/>
        </w:numPr>
        <w:shd w:val="clear" w:color="auto" w:fill="auto"/>
        <w:tabs>
          <w:tab w:pos="1086" w:val="left"/>
        </w:tabs>
        <w:bidi w:val="0"/>
        <w:spacing w:before="0" w:after="0" w:line="240" w:lineRule="auto"/>
        <w:ind w:left="0" w:right="0" w:firstLine="760"/>
        <w:jc w:val="both"/>
      </w:pPr>
      <w:r>
        <w:rPr>
          <w:rStyle w:val="CharStyle13"/>
        </w:rPr>
        <w:t xml:space="preserve">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w:t>
      </w:r>
      <w:r>
        <w:rPr>
          <w:rStyle w:val="CharStyle13"/>
          <w:lang w:val="en-US" w:eastAsia="en-US"/>
        </w:rPr>
        <w:t xml:space="preserve">14 </w:t>
      </w:r>
      <w:r>
        <w:rPr>
          <w:rStyle w:val="CharStyle13"/>
        </w:rPr>
        <w:t xml:space="preserve">настоящего Федерального закона, положений статей </w:t>
      </w:r>
      <w:r>
        <w:rPr>
          <w:rStyle w:val="CharStyle13"/>
          <w:lang w:val="en-US" w:eastAsia="en-US"/>
        </w:rPr>
        <w:t xml:space="preserve">28 </w:t>
      </w:r>
      <w:r>
        <w:rPr>
          <w:rStyle w:val="CharStyle13"/>
        </w:rPr>
        <w:t xml:space="preserve">и </w:t>
      </w:r>
      <w:r>
        <w:rPr>
          <w:rStyle w:val="CharStyle13"/>
          <w:lang w:val="en-US" w:eastAsia="en-US"/>
        </w:rPr>
        <w:t xml:space="preserve">29 </w:t>
      </w:r>
      <w:r>
        <w:rPr>
          <w:rStyle w:val="CharStyle13"/>
        </w:rPr>
        <w:t xml:space="preserve">настоящего Федерального закона (в случае, предусмотренном частью </w:t>
      </w:r>
      <w:r>
        <w:rPr>
          <w:rStyle w:val="CharStyle13"/>
          <w:lang w:val="en-US" w:eastAsia="en-US"/>
        </w:rPr>
        <w:t xml:space="preserve">24 </w:t>
      </w:r>
      <w:r>
        <w:rPr>
          <w:rStyle w:val="CharStyle13"/>
        </w:rPr>
        <w:t xml:space="preserve">статьи </w:t>
      </w:r>
      <w:r>
        <w:rPr>
          <w:rStyle w:val="CharStyle13"/>
          <w:lang w:val="en-US" w:eastAsia="en-US"/>
        </w:rPr>
        <w:t xml:space="preserve">22 </w:t>
      </w:r>
      <w:r>
        <w:rPr>
          <w:rStyle w:val="CharStyle13"/>
        </w:rPr>
        <w:t>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12"/>
        <w:keepNext w:val="0"/>
        <w:keepLines w:val="0"/>
        <w:widowControl w:val="0"/>
        <w:numPr>
          <w:ilvl w:val="0"/>
          <w:numId w:val="11"/>
        </w:numPr>
        <w:shd w:val="clear" w:color="auto" w:fill="auto"/>
        <w:tabs>
          <w:tab w:pos="1763" w:val="left"/>
        </w:tabs>
        <w:bidi w:val="0"/>
        <w:spacing w:before="0" w:after="0" w:line="240" w:lineRule="auto"/>
        <w:ind w:left="0" w:right="0" w:firstLine="760"/>
        <w:jc w:val="both"/>
      </w:pPr>
      <w:r>
        <w:rPr>
          <w:rStyle w:val="CharStyle13"/>
        </w:rPr>
        <w:t>размер платы, подлежащей внесению в соответствии с настоящим Федеральным</w:t>
      </w:r>
    </w:p>
    <w:p>
      <w:pPr>
        <w:pStyle w:val="Style12"/>
        <w:keepNext w:val="0"/>
        <w:keepLines w:val="0"/>
        <w:widowControl w:val="0"/>
        <w:shd w:val="clear" w:color="auto" w:fill="auto"/>
        <w:bidi w:val="0"/>
        <w:spacing w:before="0" w:after="0" w:line="240" w:lineRule="auto"/>
        <w:ind w:left="0" w:right="0" w:firstLine="0"/>
        <w:jc w:val="both"/>
      </w:pPr>
      <w:r>
        <w:rPr>
          <w:rStyle w:val="CharStyle13"/>
        </w:rPr>
        <w:t>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pPr>
        <w:pStyle w:val="Style12"/>
        <w:keepNext w:val="0"/>
        <w:keepLines w:val="0"/>
        <w:widowControl w:val="0"/>
        <w:numPr>
          <w:ilvl w:val="0"/>
          <w:numId w:val="11"/>
        </w:numPr>
        <w:shd w:val="clear" w:color="auto" w:fill="auto"/>
        <w:tabs>
          <w:tab w:pos="1121" w:val="left"/>
        </w:tabs>
        <w:bidi w:val="0"/>
        <w:spacing w:before="0" w:after="0" w:line="240" w:lineRule="auto"/>
        <w:ind w:left="0" w:right="0" w:firstLine="760"/>
        <w:jc w:val="both"/>
      </w:pPr>
      <w:r>
        <w:rPr>
          <w:rStyle w:val="CharStyle13"/>
        </w:rPr>
        <w:t xml:space="preserve">информацию, предусмотренную подпунктами "а", "б", "г", "е" и "п" пункта </w:t>
      </w:r>
      <w:r>
        <w:rPr>
          <w:rStyle w:val="CharStyle13"/>
          <w:lang w:val="en-US" w:eastAsia="en-US"/>
        </w:rPr>
        <w:t xml:space="preserve">1, </w:t>
      </w:r>
      <w:r>
        <w:rPr>
          <w:rStyle w:val="CharStyle13"/>
        </w:rPr>
        <w:t xml:space="preserve">подпунктами "а" и "б" пункта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 xml:space="preserve">настоящего Федерального закона, а также информацию, предусмотренную подпунктом "г" пункта </w:t>
      </w:r>
      <w:r>
        <w:rPr>
          <w:rStyle w:val="CharStyle13"/>
          <w:lang w:val="en-US" w:eastAsia="en-US"/>
        </w:rPr>
        <w:t xml:space="preserve">2 </w:t>
      </w:r>
      <w:r>
        <w:rPr>
          <w:rStyle w:val="CharStyle13"/>
        </w:rPr>
        <w:t xml:space="preserve">указанной части, в случае проведения электронного конкурса. При этом информация, предусмотренная подпунктами "а", "б", "г" и "е"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pPr>
        <w:pStyle w:val="Style12"/>
        <w:keepNext w:val="0"/>
        <w:keepLines w:val="0"/>
        <w:widowControl w:val="0"/>
        <w:numPr>
          <w:ilvl w:val="0"/>
          <w:numId w:val="11"/>
        </w:numPr>
        <w:shd w:val="clear" w:color="auto" w:fill="auto"/>
        <w:tabs>
          <w:tab w:pos="1763" w:val="left"/>
        </w:tabs>
        <w:bidi w:val="0"/>
        <w:spacing w:before="0" w:after="0" w:line="240" w:lineRule="auto"/>
        <w:ind w:left="0" w:right="0" w:firstLine="760"/>
        <w:jc w:val="both"/>
      </w:pPr>
      <w:r>
        <w:rPr>
          <w:rStyle w:val="CharStyle13"/>
        </w:rPr>
        <w:t>иные документы (при наличии);</w:t>
      </w:r>
    </w:p>
    <w:p>
      <w:pPr>
        <w:pStyle w:val="Style12"/>
        <w:keepNext w:val="0"/>
        <w:keepLines w:val="0"/>
        <w:widowControl w:val="0"/>
        <w:numPr>
          <w:ilvl w:val="0"/>
          <w:numId w:val="9"/>
        </w:numPr>
        <w:shd w:val="clear" w:color="auto" w:fill="auto"/>
        <w:tabs>
          <w:tab w:pos="1121" w:val="left"/>
        </w:tabs>
        <w:bidi w:val="0"/>
        <w:spacing w:before="0" w:after="0" w:line="240" w:lineRule="auto"/>
        <w:ind w:left="0" w:right="0" w:firstLine="760"/>
        <w:jc w:val="both"/>
      </w:pPr>
      <w:r>
        <w:rPr>
          <w:rStyle w:val="CharStyle13"/>
        </w:rPr>
        <w:t xml:space="preserve">при формировании и размещении проекта контракта, предусмотренного пунктом </w:t>
      </w:r>
      <w:r>
        <w:rPr>
          <w:rStyle w:val="CharStyle13"/>
          <w:lang w:val="en-US" w:eastAsia="en-US"/>
        </w:rPr>
        <w:t xml:space="preserve">1 </w:t>
      </w:r>
      <w:r>
        <w:rPr>
          <w:rStyle w:val="CharStyle13"/>
        </w:rPr>
        <w:t xml:space="preserve">настоящей части, заказчик вправе (за исключением случая, предусмотренного частью </w:t>
      </w:r>
      <w:r>
        <w:rPr>
          <w:rStyle w:val="CharStyle13"/>
          <w:lang w:val="en-US" w:eastAsia="en-US"/>
        </w:rPr>
        <w:t xml:space="preserve">24 </w:t>
      </w:r>
      <w:r>
        <w:rPr>
          <w:rStyle w:val="CharStyle13"/>
        </w:rPr>
        <w:t xml:space="preserve">статьи </w:t>
      </w:r>
      <w:r>
        <w:rPr>
          <w:rStyle w:val="CharStyle13"/>
          <w:lang w:val="en-US" w:eastAsia="en-US"/>
        </w:rPr>
        <w:t xml:space="preserve">22 </w:t>
      </w:r>
      <w:r>
        <w:rPr>
          <w:rStyle w:val="CharStyle13"/>
        </w:rPr>
        <w:t xml:space="preserve">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"б" пункта </w:t>
      </w:r>
      <w:r>
        <w:rPr>
          <w:rStyle w:val="CharStyle13"/>
          <w:lang w:val="en-US" w:eastAsia="en-US"/>
        </w:rPr>
        <w:t xml:space="preserve">1 </w:t>
      </w:r>
      <w:r>
        <w:rPr>
          <w:rStyle w:val="CharStyle13"/>
        </w:rPr>
        <w:t xml:space="preserve">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подпунктом "б" пункта </w:t>
      </w:r>
      <w:r>
        <w:rPr>
          <w:rStyle w:val="CharStyle13"/>
          <w:lang w:val="en-US" w:eastAsia="en-US"/>
        </w:rPr>
        <w:t xml:space="preserve">1 </w:t>
      </w:r>
      <w:r>
        <w:rPr>
          <w:rStyle w:val="CharStyle13"/>
        </w:rPr>
        <w:t xml:space="preserve">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подпунктом "б" пункта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настоящей статьи.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3 </w:t>
      </w:r>
      <w:r>
        <w:rPr>
          <w:rStyle w:val="CharStyle13"/>
        </w:rPr>
        <w:t xml:space="preserve">статьи </w:t>
      </w:r>
      <w:r>
        <w:rPr>
          <w:rStyle w:val="CharStyle13"/>
          <w:lang w:val="en-US" w:eastAsia="en-US"/>
        </w:rPr>
        <w:t xml:space="preserve">51 </w:t>
      </w:r>
      <w:r>
        <w:rPr>
          <w:rStyle w:val="CharStyle13"/>
        </w:rPr>
        <w:t xml:space="preserve">Закона о контрактной системе не позднее пяти рабочих дней, следующих за днем размещения заказчиком в соответствии с частью </w:t>
      </w:r>
      <w:r>
        <w:rPr>
          <w:rStyle w:val="CharStyle13"/>
          <w:lang w:val="en-US" w:eastAsia="en-US"/>
        </w:rPr>
        <w:t xml:space="preserve">2 </w:t>
      </w:r>
      <w:r>
        <w:rPr>
          <w:rStyle w:val="CharStyle13"/>
        </w:rPr>
        <w:t>названной статьи проекта контракта, участник закупки, с которым заключается контракт, осуществляет одно из следующих действий:</w:t>
      </w:r>
    </w:p>
    <w:p>
      <w:pPr>
        <w:pStyle w:val="Style12"/>
        <w:keepNext w:val="0"/>
        <w:keepLines w:val="0"/>
        <w:widowControl w:val="0"/>
        <w:numPr>
          <w:ilvl w:val="0"/>
          <w:numId w:val="13"/>
        </w:numPr>
        <w:shd w:val="clear" w:color="auto" w:fill="auto"/>
        <w:tabs>
          <w:tab w:pos="1210" w:val="left"/>
        </w:tabs>
        <w:bidi w:val="0"/>
        <w:spacing w:before="0" w:after="0" w:line="240" w:lineRule="auto"/>
        <w:ind w:left="0" w:right="0" w:firstLine="760"/>
        <w:jc w:val="both"/>
      </w:pPr>
      <w:r>
        <w:rPr>
          <w:rStyle w:val="CharStyle13"/>
        </w:rPr>
        <w:t>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названным Федеральным законом (за исключением случаев, предусмотренных названным Федеральным законом). При этом такой участник закупки:</w:t>
      </w:r>
    </w:p>
    <w:p>
      <w:pPr>
        <w:pStyle w:val="Style12"/>
        <w:keepNext w:val="0"/>
        <w:keepLines w:val="0"/>
        <w:widowControl w:val="0"/>
        <w:numPr>
          <w:ilvl w:val="0"/>
          <w:numId w:val="15"/>
        </w:numPr>
        <w:shd w:val="clear" w:color="auto" w:fill="auto"/>
        <w:tabs>
          <w:tab w:pos="1121" w:val="left"/>
        </w:tabs>
        <w:bidi w:val="0"/>
        <w:spacing w:before="0" w:after="0" w:line="240" w:lineRule="auto"/>
        <w:ind w:left="0" w:right="0" w:firstLine="760"/>
        <w:jc w:val="both"/>
      </w:pPr>
      <w:r>
        <w:rPr>
          <w:rStyle w:val="CharStyle13"/>
        </w:rPr>
        <w:t xml:space="preserve">в случаях, предусмотренных статьей </w:t>
      </w:r>
      <w:r>
        <w:rPr>
          <w:rStyle w:val="CharStyle13"/>
          <w:lang w:val="en-US" w:eastAsia="en-US"/>
        </w:rPr>
        <w:t xml:space="preserve">37 </w:t>
      </w:r>
      <w:r>
        <w:rPr>
          <w:rStyle w:val="CharStyle13"/>
        </w:rPr>
        <w:t>названного Федерального закона, одновременно представляет заказчику информацию и документы, предусмотренные указанной статьей;</w:t>
      </w:r>
    </w:p>
    <w:p>
      <w:pPr>
        <w:pStyle w:val="Style12"/>
        <w:keepNext w:val="0"/>
        <w:keepLines w:val="0"/>
        <w:widowControl w:val="0"/>
        <w:numPr>
          <w:ilvl w:val="0"/>
          <w:numId w:val="15"/>
        </w:numPr>
        <w:shd w:val="clear" w:color="auto" w:fill="auto"/>
        <w:tabs>
          <w:tab w:pos="1121" w:val="left"/>
        </w:tabs>
        <w:bidi w:val="0"/>
        <w:spacing w:before="0" w:after="0" w:line="240" w:lineRule="auto"/>
        <w:ind w:left="0" w:right="0" w:firstLine="760"/>
        <w:jc w:val="both"/>
      </w:pPr>
      <w:r>
        <w:rPr>
          <w:rStyle w:val="CharStyle13"/>
        </w:rPr>
        <w:t>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названным Федеральным законом определен размер платы, подлежащей внесению участником закупки за заключение контракта);</w:t>
      </w:r>
    </w:p>
    <w:p>
      <w:pPr>
        <w:pStyle w:val="Style12"/>
        <w:keepNext w:val="0"/>
        <w:keepLines w:val="0"/>
        <w:widowControl w:val="0"/>
        <w:numPr>
          <w:ilvl w:val="0"/>
          <w:numId w:val="13"/>
        </w:numPr>
        <w:shd w:val="clear" w:color="auto" w:fill="auto"/>
        <w:tabs>
          <w:tab w:pos="1210" w:val="left"/>
        </w:tabs>
        <w:bidi w:val="0"/>
        <w:spacing w:before="0" w:after="0" w:line="240" w:lineRule="auto"/>
        <w:ind w:left="0" w:right="0" w:firstLine="760"/>
        <w:jc w:val="both"/>
      </w:pPr>
      <w:r>
        <w:rPr>
          <w:rStyle w:val="CharStyle13"/>
        </w:rPr>
        <w:t>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w:t>
      </w:r>
    </w:p>
    <w:p>
      <w:pPr>
        <w:pStyle w:val="Style12"/>
        <w:keepNext w:val="0"/>
        <w:keepLines w:val="0"/>
        <w:widowControl w:val="0"/>
        <w:shd w:val="clear" w:color="auto" w:fill="auto"/>
        <w:bidi w:val="0"/>
        <w:spacing w:before="0" w:after="0" w:line="240" w:lineRule="auto"/>
        <w:ind w:left="0" w:right="0" w:firstLine="0"/>
        <w:jc w:val="both"/>
      </w:pPr>
      <w:r>
        <w:rPr>
          <w:rStyle w:val="CharStyle13"/>
        </w:rPr>
        <w:t>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pPr>
        <w:pStyle w:val="Style12"/>
        <w:keepNext w:val="0"/>
        <w:keepLines w:val="0"/>
        <w:widowControl w:val="0"/>
        <w:numPr>
          <w:ilvl w:val="0"/>
          <w:numId w:val="17"/>
        </w:numPr>
        <w:shd w:val="clear" w:color="auto" w:fill="auto"/>
        <w:tabs>
          <w:tab w:pos="1076" w:val="left"/>
        </w:tabs>
        <w:bidi w:val="0"/>
        <w:spacing w:before="0" w:after="0" w:line="240" w:lineRule="auto"/>
        <w:ind w:left="0" w:right="0" w:firstLine="760"/>
        <w:jc w:val="both"/>
      </w:pPr>
      <w:r>
        <w:rPr>
          <w:rStyle w:val="CharStyle13"/>
        </w:rPr>
        <w:t xml:space="preserve">наличие разногласий в отношении информации, включенной в проект контракта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названной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pPr>
        <w:pStyle w:val="Style12"/>
        <w:keepNext w:val="0"/>
        <w:keepLines w:val="0"/>
        <w:widowControl w:val="0"/>
        <w:numPr>
          <w:ilvl w:val="0"/>
          <w:numId w:val="17"/>
        </w:numPr>
        <w:shd w:val="clear" w:color="auto" w:fill="auto"/>
        <w:tabs>
          <w:tab w:pos="1095" w:val="left"/>
        </w:tabs>
        <w:bidi w:val="0"/>
        <w:spacing w:before="0" w:after="0" w:line="240" w:lineRule="auto"/>
        <w:ind w:left="0" w:right="0" w:firstLine="760"/>
        <w:jc w:val="both"/>
      </w:pPr>
      <w:r>
        <w:rPr>
          <w:rStyle w:val="CharStyle13"/>
        </w:rPr>
        <w:t xml:space="preserve">несогласие заключить контракт, содержащий условия, предусмотренные пунктом </w:t>
      </w:r>
      <w:r>
        <w:rPr>
          <w:rStyle w:val="CharStyle13"/>
          <w:lang w:val="en-US" w:eastAsia="en-US"/>
        </w:rPr>
        <w:t xml:space="preserve">2 </w:t>
      </w:r>
      <w:r>
        <w:rPr>
          <w:rStyle w:val="CharStyle13"/>
        </w:rPr>
        <w:t xml:space="preserve">части </w:t>
      </w:r>
      <w:r>
        <w:rPr>
          <w:rStyle w:val="CharStyle13"/>
          <w:lang w:val="en-US" w:eastAsia="en-US"/>
        </w:rPr>
        <w:t xml:space="preserve">2 </w:t>
      </w:r>
      <w:r>
        <w:rPr>
          <w:rStyle w:val="CharStyle13"/>
        </w:rPr>
        <w:t>названной статьи;</w:t>
      </w:r>
    </w:p>
    <w:p>
      <w:pPr>
        <w:pStyle w:val="Style12"/>
        <w:keepNext w:val="0"/>
        <w:keepLines w:val="0"/>
        <w:widowControl w:val="0"/>
        <w:numPr>
          <w:ilvl w:val="0"/>
          <w:numId w:val="19"/>
        </w:numPr>
        <w:shd w:val="clear" w:color="auto" w:fill="auto"/>
        <w:tabs>
          <w:tab w:pos="1090" w:val="left"/>
        </w:tabs>
        <w:bidi w:val="0"/>
        <w:spacing w:before="0" w:after="0" w:line="240" w:lineRule="auto"/>
        <w:ind w:left="0" w:right="0" w:firstLine="760"/>
        <w:jc w:val="both"/>
      </w:pPr>
      <w:r>
        <w:rPr>
          <w:rStyle w:val="CharStyle13"/>
        </w:rPr>
        <w:t xml:space="preserve">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w:t>
      </w:r>
      <w:r>
        <w:rPr>
          <w:rStyle w:val="CharStyle13"/>
          <w:lang w:val="en-US" w:eastAsia="en-US"/>
        </w:rPr>
        <w:t xml:space="preserve">1 </w:t>
      </w:r>
      <w:r>
        <w:rPr>
          <w:rStyle w:val="CharStyle13"/>
        </w:rPr>
        <w:t xml:space="preserve">части </w:t>
      </w:r>
      <w:r>
        <w:rPr>
          <w:rStyle w:val="CharStyle13"/>
          <w:lang w:val="en-US" w:eastAsia="en-US"/>
        </w:rPr>
        <w:t xml:space="preserve">17.2 </w:t>
      </w:r>
      <w:r>
        <w:rPr>
          <w:rStyle w:val="CharStyle13"/>
        </w:rPr>
        <w:t xml:space="preserve">статьи </w:t>
      </w:r>
      <w:r>
        <w:rPr>
          <w:rStyle w:val="CharStyle13"/>
          <w:lang w:val="en-US" w:eastAsia="en-US"/>
        </w:rPr>
        <w:t xml:space="preserve">95 </w:t>
      </w:r>
      <w:r>
        <w:rPr>
          <w:rStyle w:val="CharStyle13"/>
        </w:rPr>
        <w:t>названного Федерального закона.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 основании части </w:t>
      </w:r>
      <w:r>
        <w:rPr>
          <w:rStyle w:val="CharStyle13"/>
          <w:lang w:val="en-US" w:eastAsia="en-US"/>
        </w:rPr>
        <w:t xml:space="preserve">4 </w:t>
      </w:r>
      <w:r>
        <w:rPr>
          <w:rStyle w:val="CharStyle13"/>
        </w:rPr>
        <w:t xml:space="preserve">статьи </w:t>
      </w:r>
      <w:r>
        <w:rPr>
          <w:rStyle w:val="CharStyle13"/>
          <w:lang w:val="en-US" w:eastAsia="en-US"/>
        </w:rPr>
        <w:t xml:space="preserve">51 </w:t>
      </w:r>
      <w:r>
        <w:rPr>
          <w:rStyle w:val="CharStyle13"/>
        </w:rPr>
        <w:t xml:space="preserve">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w:t>
      </w:r>
      <w:r>
        <w:rPr>
          <w:rStyle w:val="CharStyle13"/>
          <w:lang w:val="en-US" w:eastAsia="en-US"/>
        </w:rPr>
        <w:t xml:space="preserve">3 </w:t>
      </w:r>
      <w:r>
        <w:rPr>
          <w:rStyle w:val="CharStyle13"/>
        </w:rPr>
        <w:t>настоящей статьи, заказчик осуществляет одно из следующих действий:</w:t>
      </w:r>
    </w:p>
    <w:p>
      <w:pPr>
        <w:pStyle w:val="Style12"/>
        <w:keepNext w:val="0"/>
        <w:keepLines w:val="0"/>
        <w:widowControl w:val="0"/>
        <w:numPr>
          <w:ilvl w:val="0"/>
          <w:numId w:val="21"/>
        </w:numPr>
        <w:shd w:val="clear" w:color="auto" w:fill="auto"/>
        <w:tabs>
          <w:tab w:pos="1210" w:val="left"/>
        </w:tabs>
        <w:bidi w:val="0"/>
        <w:spacing w:before="0" w:after="0" w:line="240" w:lineRule="auto"/>
        <w:ind w:left="0" w:right="0" w:firstLine="760"/>
        <w:jc w:val="both"/>
      </w:pPr>
      <w:r>
        <w:rPr>
          <w:rStyle w:val="CharStyle13"/>
        </w:rPr>
        <w:t xml:space="preserve">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настоящим Федеральным законом, и не ранее срока, предусмотренного частью </w:t>
      </w:r>
      <w:r>
        <w:rPr>
          <w:rStyle w:val="CharStyle13"/>
          <w:lang w:val="en-US" w:eastAsia="en-US"/>
        </w:rPr>
        <w:t xml:space="preserve">1 </w:t>
      </w:r>
      <w:r>
        <w:rPr>
          <w:rStyle w:val="CharStyle13"/>
        </w:rPr>
        <w:t xml:space="preserve">настоящей статьи) в случае, если участник закупки, с которым заключается контракт, разместил информацию и документы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3 </w:t>
      </w:r>
      <w:r>
        <w:rPr>
          <w:rStyle w:val="CharStyle13"/>
        </w:rPr>
        <w:t>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pPr>
        <w:pStyle w:val="Style12"/>
        <w:keepNext w:val="0"/>
        <w:keepLines w:val="0"/>
        <w:widowControl w:val="0"/>
        <w:numPr>
          <w:ilvl w:val="0"/>
          <w:numId w:val="21"/>
        </w:numPr>
        <w:shd w:val="clear" w:color="auto" w:fill="auto"/>
        <w:tabs>
          <w:tab w:pos="1210" w:val="left"/>
        </w:tabs>
        <w:bidi w:val="0"/>
        <w:spacing w:before="0" w:after="0" w:line="240" w:lineRule="auto"/>
        <w:ind w:left="0" w:right="0" w:firstLine="760"/>
        <w:jc w:val="both"/>
      </w:pPr>
      <w:r>
        <w:rPr>
          <w:rStyle w:val="CharStyle13"/>
        </w:rPr>
        <w:t xml:space="preserve">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настоящей статьи;</w:t>
      </w:r>
    </w:p>
    <w:p>
      <w:pPr>
        <w:pStyle w:val="Style12"/>
        <w:keepNext w:val="0"/>
        <w:keepLines w:val="0"/>
        <w:widowControl w:val="0"/>
        <w:numPr>
          <w:ilvl w:val="0"/>
          <w:numId w:val="21"/>
        </w:numPr>
        <w:shd w:val="clear" w:color="auto" w:fill="auto"/>
        <w:tabs>
          <w:tab w:pos="1210" w:val="left"/>
        </w:tabs>
        <w:bidi w:val="0"/>
        <w:spacing w:before="0" w:after="0" w:line="240" w:lineRule="auto"/>
        <w:ind w:left="0" w:right="0" w:firstLine="760"/>
        <w:jc w:val="both"/>
      </w:pPr>
      <w:r>
        <w:rPr>
          <w:rStyle w:val="CharStyle13"/>
        </w:rPr>
        <w:t xml:space="preserve">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подпунктом "б" пункта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настоящей статьи, подлежит обязательному учету.</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Комиссией Нижегородского УФАС России установлено, что </w:t>
      </w:r>
      <w:r>
        <w:rPr>
          <w:rStyle w:val="CharStyle13"/>
          <w:lang w:val="en-US" w:eastAsia="en-US"/>
        </w:rPr>
        <w:t xml:space="preserve">21.04.2026 </w:t>
      </w:r>
      <w:r>
        <w:rPr>
          <w:rStyle w:val="CharStyle13"/>
        </w:rPr>
        <w:t>Заказчиком размещен проекта контракта по электронному аукциону на электронной площадке.</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28.04.2026 </w:t>
      </w:r>
      <w:r>
        <w:rPr>
          <w:rStyle w:val="CharStyle13"/>
        </w:rPr>
        <w:t>Заявителем подписан протокол разногласий по электронному аукциону на электронной площадке. Согласно указанному протоколу Заявитель указал на необходимость замены оборудования «Приборы системы пожарной автоматики СОУЭ» («Аргус-Спект» на ООО «Рубеж»).</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30.04.2026 </w:t>
      </w:r>
      <w:r>
        <w:rPr>
          <w:rStyle w:val="CharStyle13"/>
        </w:rPr>
        <w:t>Заказчиком размещен доработанный проект контракта по электронному аукциону на электронной площадке, в котором не учтены предложения Заявителя, а также ответ на протокол разногласий, в котором Заказчиком указано на отсутствие оснований для внесения изменений в проект контракта.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 </w:t>
      </w:r>
      <w:r>
        <w:rPr>
          <w:rStyle w:val="CharStyle13"/>
        </w:rPr>
        <w:t>Закона о контрактной системе данный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статьи </w:t>
      </w:r>
      <w:r>
        <w:rPr>
          <w:rStyle w:val="CharStyle13"/>
          <w:lang w:val="en-US" w:eastAsia="en-US"/>
        </w:rPr>
        <w:t xml:space="preserve">6 </w:t>
      </w:r>
      <w:r>
        <w:rPr>
          <w:rStyle w:val="CharStyle13"/>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Частью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w:t>
      </w:r>
    </w:p>
    <w:p>
      <w:pPr>
        <w:pStyle w:val="Style12"/>
        <w:keepNext w:val="0"/>
        <w:keepLines w:val="0"/>
        <w:widowControl w:val="0"/>
        <w:shd w:val="clear" w:color="auto" w:fill="auto"/>
        <w:bidi w:val="0"/>
        <w:spacing w:before="0" w:after="0" w:line="240" w:lineRule="auto"/>
        <w:ind w:left="0" w:right="0" w:firstLine="0"/>
        <w:jc w:val="both"/>
      </w:pPr>
      <w:r>
        <w:rPr>
          <w:rStyle w:val="CharStyle13"/>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8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предусмотрено, что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w:t>
      </w:r>
      <w:r>
        <w:rPr>
          <w:rStyle w:val="CharStyle13"/>
          <w:lang w:val="en-US" w:eastAsia="en-US"/>
        </w:rPr>
        <w:t xml:space="preserve">16 </w:t>
      </w:r>
      <w:r>
        <w:rPr>
          <w:rStyle w:val="CharStyle13"/>
        </w:rPr>
        <w:t xml:space="preserve">и </w:t>
      </w:r>
      <w:r>
        <w:rPr>
          <w:rStyle w:val="CharStyle13"/>
          <w:lang w:val="en-US" w:eastAsia="en-US"/>
        </w:rPr>
        <w:t xml:space="preserve">16.1 </w:t>
      </w:r>
      <w:r>
        <w:rPr>
          <w:rStyle w:val="CharStyle13"/>
        </w:rPr>
        <w:t xml:space="preserve">статьи </w:t>
      </w:r>
      <w:r>
        <w:rPr>
          <w:rStyle w:val="CharStyle13"/>
          <w:lang w:val="en-US" w:eastAsia="en-US"/>
        </w:rPr>
        <w:t xml:space="preserve">34 </w:t>
      </w:r>
      <w:r>
        <w:rPr>
          <w:rStyle w:val="CharStyle13"/>
        </w:rPr>
        <w:t xml:space="preserve">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w:t>
      </w:r>
      <w:r>
        <w:rPr>
          <w:rStyle w:val="CharStyle13"/>
          <w:lang w:val="en-US" w:eastAsia="en-US"/>
        </w:rPr>
        <w:t xml:space="preserve">1 - 3 </w:t>
      </w:r>
      <w:r>
        <w:rPr>
          <w:rStyle w:val="CharStyle13"/>
        </w:rPr>
        <w:t xml:space="preserve">настоящей части, части </w:t>
      </w:r>
      <w:r>
        <w:rPr>
          <w:rStyle w:val="CharStyle13"/>
          <w:lang w:val="en-US" w:eastAsia="en-US"/>
        </w:rPr>
        <w:t xml:space="preserve">2 </w:t>
      </w:r>
      <w:r>
        <w:rPr>
          <w:rStyle w:val="CharStyle13"/>
        </w:rPr>
        <w:t>настоящей статьи.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3"/>
          <w:lang w:val="en-US" w:eastAsia="en-US"/>
        </w:rPr>
        <w:t xml:space="preserve">33 </w:t>
      </w:r>
      <w:r>
        <w:rPr>
          <w:rStyle w:val="CharStyle13"/>
        </w:rPr>
        <w:t>настоящего Федерального закона.</w:t>
      </w:r>
    </w:p>
    <w:p>
      <w:pPr>
        <w:pStyle w:val="Style12"/>
        <w:keepNext w:val="0"/>
        <w:keepLines w:val="0"/>
        <w:widowControl w:val="0"/>
        <w:shd w:val="clear" w:color="auto" w:fill="auto"/>
        <w:bidi w:val="0"/>
        <w:spacing w:before="0" w:after="200" w:line="240" w:lineRule="auto"/>
        <w:ind w:left="0" w:right="0" w:firstLine="760"/>
        <w:jc w:val="both"/>
      </w:pPr>
      <w:r>
        <w:rPr>
          <w:rStyle w:val="CharStyle13"/>
        </w:rPr>
        <w:t>Описание объекта закупки размещено в ЕИС в структурированном виде</w:t>
      </w:r>
    </w:p>
    <w:tbl>
      <w:tblPr>
        <w:tblOverlap w:val="never"/>
        <w:jc w:val="center"/>
        <w:tblLayout w:type="fixed"/>
      </w:tblPr>
      <w:tblGrid>
        <w:gridCol w:w="1195"/>
        <w:gridCol w:w="1070"/>
        <w:gridCol w:w="787"/>
        <w:gridCol w:w="1027"/>
        <w:gridCol w:w="1037"/>
        <w:gridCol w:w="1910"/>
        <w:gridCol w:w="1315"/>
        <w:gridCol w:w="1819"/>
      </w:tblGrid>
      <w:tr>
        <w:trPr>
          <w:trHeight w:val="850"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Наименование товара, работы, услуги</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Код позиции</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Тип позиции</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Единица измерения</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Цена за единицу</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Заказчик</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Количество (объём работы, услуги)</w:t>
            </w:r>
          </w:p>
        </w:tc>
        <w:tc>
          <w:tcPr>
            <w:tcBorders>
              <w:top w:val="single" w:sz="4"/>
              <w:left w:val="single" w:sz="4"/>
              <w:righ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Стоимость позиции</w:t>
            </w:r>
          </w:p>
        </w:tc>
      </w:tr>
      <w:tr>
        <w:trPr>
          <w:trHeight w:val="2093" w:hRule="exact"/>
        </w:trPr>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 xml:space="preserve">Монтаж системы пожарной сигнализации и системы оповещения и управления эвакуацией Идентификато р: </w:t>
            </w:r>
            <w:r>
              <w:rPr>
                <w:rStyle w:val="CharStyle16"/>
                <w:sz w:val="18"/>
                <w:szCs w:val="18"/>
                <w:lang w:val="en-US" w:eastAsia="en-US"/>
              </w:rPr>
              <w:t>210942464</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lang w:val="en-US" w:eastAsia="en-US"/>
              </w:rPr>
              <w:t>43.21.10.140</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Работа</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Условная единица</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lang w:val="en-US" w:eastAsia="en-US"/>
              </w:rPr>
              <w:t>12363686.29</w:t>
            </w: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МУНИЦИПАЛЬНОЕ БЮДЖЕТНОЕ УЧРЕЖДЕНИЕ</w:t>
            </w:r>
          </w:p>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rPr>
              <w:t>ДОПОЛНИТЕЛЬНОГО ОБРАЗОВАНИЯ «СПОРТИВНАЯ ШКОЛА „ФИЗКУЛЬТУРНО</w:t>
              <w:softHyphen/>
              <w:t>ОЗДОРОВИТЕЛЬНЫЙ КОМПЛЕКС „ОКА“»</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right"/>
              <w:rPr>
                <w:sz w:val="18"/>
                <w:szCs w:val="18"/>
              </w:rPr>
            </w:pPr>
            <w:r>
              <w:rPr>
                <w:rStyle w:val="CharStyle16"/>
                <w:sz w:val="18"/>
                <w:szCs w:val="18"/>
                <w:lang w:val="en-US" w:eastAsia="en-US"/>
              </w:rPr>
              <w:t>1</w:t>
            </w:r>
          </w:p>
        </w:tc>
        <w:tc>
          <w:tcPr>
            <w:tcBorders>
              <w:top w:val="single" w:sz="4"/>
              <w:left w:val="single" w:sz="4"/>
              <w:bottom w:val="single" w:sz="4"/>
              <w:righ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8"/>
                <w:szCs w:val="18"/>
              </w:rPr>
            </w:pPr>
            <w:r>
              <w:rPr>
                <w:rStyle w:val="CharStyle16"/>
                <w:sz w:val="18"/>
                <w:szCs w:val="18"/>
                <w:lang w:val="en-US" w:eastAsia="en-US"/>
              </w:rPr>
              <w:t>12363686.29</w:t>
            </w:r>
          </w:p>
        </w:tc>
      </w:tr>
    </w:tbl>
    <w:p>
      <w:pPr>
        <w:pStyle w:val="Style12"/>
        <w:keepNext w:val="0"/>
        <w:keepLines w:val="0"/>
        <w:widowControl w:val="0"/>
        <w:shd w:val="clear" w:color="auto" w:fill="auto"/>
        <w:bidi w:val="0"/>
        <w:spacing w:before="0" w:after="0" w:line="240" w:lineRule="auto"/>
        <w:ind w:left="0" w:right="0" w:firstLine="760"/>
        <w:jc w:val="both"/>
      </w:pPr>
      <w:r>
        <w:rPr>
          <w:rStyle w:val="CharStyle13"/>
        </w:rPr>
        <w:t>Также описание объекта закупки размещено в виде электронных документов.</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Так, в документе «176-Описание объекта закупки (раздел </w:t>
      </w:r>
      <w:r>
        <w:rPr>
          <w:rStyle w:val="CharStyle13"/>
          <w:lang w:val="en-US" w:eastAsia="en-US"/>
        </w:rPr>
        <w:t xml:space="preserve">II извещения).docx» </w:t>
      </w:r>
      <w:r>
        <w:rPr>
          <w:rStyle w:val="CharStyle13"/>
        </w:rPr>
        <w:t xml:space="preserve">в пункте </w:t>
      </w:r>
      <w:r>
        <w:rPr>
          <w:rStyle w:val="CharStyle13"/>
          <w:lang w:val="en-US" w:eastAsia="en-US"/>
        </w:rPr>
        <w:t xml:space="preserve">4 </w:t>
      </w:r>
      <w:r>
        <w:rPr>
          <w:rStyle w:val="CharStyle13"/>
        </w:rPr>
        <w:t xml:space="preserve">раздела </w:t>
      </w:r>
      <w:r>
        <w:rPr>
          <w:rStyle w:val="CharStyle13"/>
          <w:lang w:val="en-US" w:eastAsia="en-US"/>
        </w:rPr>
        <w:t xml:space="preserve">2 </w:t>
      </w:r>
      <w:r>
        <w:rPr>
          <w:rStyle w:val="CharStyle13"/>
        </w:rPr>
        <w:t xml:space="preserve">извещения «Наименование и описания объекта закупки, условиях (Раздел </w:t>
      </w:r>
      <w:r>
        <w:rPr>
          <w:rStyle w:val="CharStyle13"/>
          <w:lang w:val="en-US" w:eastAsia="en-US"/>
        </w:rPr>
        <w:t xml:space="preserve">II)» </w:t>
      </w:r>
      <w:r>
        <w:rPr>
          <w:rStyle w:val="CharStyle13"/>
        </w:rPr>
        <w:t>указано: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«Описание объекта закупки в соответствии со статьей </w:t>
      </w:r>
      <w:r>
        <w:rPr>
          <w:rStyle w:val="CharStyle13"/>
          <w:lang w:val="en-US" w:eastAsia="en-US"/>
        </w:rPr>
        <w:t xml:space="preserve">33 </w:t>
      </w:r>
      <w:r>
        <w:rPr>
          <w:rStyle w:val="CharStyle13"/>
        </w:rPr>
        <w:t xml:space="preserve">Федерального закона от </w:t>
      </w:r>
      <w:r>
        <w:rPr>
          <w:rStyle w:val="CharStyle13"/>
          <w:lang w:val="en-US" w:eastAsia="en-US"/>
        </w:rPr>
        <w:t xml:space="preserve">05.04.2013 № </w:t>
      </w:r>
      <w:r>
        <w:rPr>
          <w:rStyle w:val="CharStyle13"/>
        </w:rPr>
        <w:t>44-ФЗ</w:t>
      </w:r>
    </w:p>
    <w:p>
      <w:pPr>
        <w:pStyle w:val="Style12"/>
        <w:keepNext w:val="0"/>
        <w:keepLines w:val="0"/>
        <w:widowControl w:val="0"/>
        <w:numPr>
          <w:ilvl w:val="0"/>
          <w:numId w:val="23"/>
        </w:numPr>
        <w:shd w:val="clear" w:color="auto" w:fill="auto"/>
        <w:tabs>
          <w:tab w:pos="1095" w:val="left"/>
        </w:tabs>
        <w:bidi w:val="0"/>
        <w:spacing w:before="0" w:after="0" w:line="240" w:lineRule="auto"/>
        <w:ind w:left="0" w:right="0" w:firstLine="760"/>
        <w:jc w:val="both"/>
      </w:pPr>
      <w:r>
        <w:rPr>
          <w:rStyle w:val="CharStyle13"/>
        </w:rPr>
        <w:t>Работы выполняются в соответствии с «Описанием объекта закупки. Техническим заданием», локальным сметным расчетом, проектной документацией, являющимися неотъемлемой частью извещения о закупке и размещенными в ЕИС в виде отдельных файлов.</w:t>
      </w:r>
    </w:p>
    <w:p>
      <w:pPr>
        <w:pStyle w:val="Style12"/>
        <w:keepNext w:val="0"/>
        <w:keepLines w:val="0"/>
        <w:widowControl w:val="0"/>
        <w:numPr>
          <w:ilvl w:val="0"/>
          <w:numId w:val="23"/>
        </w:numPr>
        <w:shd w:val="clear" w:color="auto" w:fill="auto"/>
        <w:tabs>
          <w:tab w:pos="1095" w:val="left"/>
        </w:tabs>
        <w:bidi w:val="0"/>
        <w:spacing w:before="0" w:after="0" w:line="240" w:lineRule="auto"/>
        <w:ind w:left="0" w:right="0" w:firstLine="760"/>
        <w:jc w:val="both"/>
      </w:pPr>
      <w:r>
        <w:rPr>
          <w:rStyle w:val="CharStyle13"/>
        </w:rPr>
        <w:t xml:space="preserve">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(далее </w:t>
      </w:r>
      <w:r>
        <w:rPr>
          <w:rStyle w:val="CharStyle13"/>
          <w:lang w:val="en-US" w:eastAsia="en-US"/>
        </w:rPr>
        <w:t xml:space="preserve">- </w:t>
      </w:r>
      <w:r>
        <w:rPr>
          <w:rStyle w:val="CharStyle13"/>
        </w:rPr>
        <w:t>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Гарантийный срок на выполненные работы устанавливается продолжительностью </w:t>
      </w:r>
      <w:r>
        <w:rPr>
          <w:rStyle w:val="CharStyle13"/>
          <w:lang w:val="en-US" w:eastAsia="en-US"/>
        </w:rPr>
        <w:t xml:space="preserve">5 </w:t>
      </w:r>
      <w:r>
        <w:rPr>
          <w:rStyle w:val="CharStyle13"/>
        </w:rPr>
        <w:t>лет с даты подписания сторонами документа о приемке.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Гарантийный срок на применяемые материалы устанавливается в соответствии с гарантийным сроком завода-изготовителя и исчисляется со дня приёмки объекта.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Все встречающиеся указания на товарные знаки читать со словами «или эквивалент».».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 извещению приложена Проектно-сметная документация </w:t>
      </w:r>
      <w:r>
        <w:rPr>
          <w:rStyle w:val="CharStyle13"/>
          <w:lang w:val="en-US" w:eastAsia="en-US"/>
        </w:rPr>
        <w:t xml:space="preserve">№72-24- </w:t>
      </w:r>
      <w:r>
        <w:rPr>
          <w:rStyle w:val="CharStyle13"/>
        </w:rPr>
        <w:t>АПС.СПА.СОУЭ, в которой указано:</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«2.1.1 </w:t>
      </w:r>
      <w:r>
        <w:rPr>
          <w:rStyle w:val="CharStyle13"/>
        </w:rPr>
        <w:t>Автоматическая установка пожарной сигнализации организована на базе приборов производства “Аргус-Спектр”, предназначенных для сбора, обработки, передачи, отображения и регистрации извещений о состоянии шлейфов пожарной сигнализации, управления пожарной автоматикой, инженерными системами объекта.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состав системы входят следующие приборы управления и исполнительные блоки:</w:t>
      </w:r>
    </w:p>
    <w:p>
      <w:pPr>
        <w:pStyle w:val="Style12"/>
        <w:keepNext w:val="0"/>
        <w:keepLines w:val="0"/>
        <w:widowControl w:val="0"/>
        <w:numPr>
          <w:ilvl w:val="0"/>
          <w:numId w:val="25"/>
        </w:numPr>
        <w:shd w:val="clear" w:color="auto" w:fill="auto"/>
        <w:tabs>
          <w:tab w:pos="1021" w:val="left"/>
        </w:tabs>
        <w:bidi w:val="0"/>
        <w:spacing w:before="0" w:after="0" w:line="240" w:lineRule="auto"/>
        <w:ind w:left="0" w:right="0" w:firstLine="760"/>
        <w:jc w:val="both"/>
      </w:pPr>
      <w:r>
        <w:rPr>
          <w:rStyle w:val="CharStyle13"/>
        </w:rPr>
        <w:t>Прибор приёмно-контрольный и управления пожарный “Панель-3-ПРО исп. Л "СПЕКТР", вар. Р302-22”;</w:t>
      </w:r>
    </w:p>
    <w:p>
      <w:pPr>
        <w:pStyle w:val="Style12"/>
        <w:keepNext w:val="0"/>
        <w:keepLines w:val="0"/>
        <w:widowControl w:val="0"/>
        <w:numPr>
          <w:ilvl w:val="0"/>
          <w:numId w:val="25"/>
        </w:numPr>
        <w:shd w:val="clear" w:color="auto" w:fill="auto"/>
        <w:tabs>
          <w:tab w:pos="1026" w:val="left"/>
        </w:tabs>
        <w:bidi w:val="0"/>
        <w:spacing w:before="0" w:after="0" w:line="240" w:lineRule="auto"/>
        <w:ind w:left="0" w:right="0" w:firstLine="760"/>
        <w:jc w:val="both"/>
      </w:pPr>
      <w:r>
        <w:rPr>
          <w:rStyle w:val="CharStyle13"/>
        </w:rPr>
        <w:t>Извещатель пожарный дымовой точечный адресно-аналоговый проводной “СПК- Д”;</w:t>
      </w:r>
    </w:p>
    <w:p>
      <w:pPr>
        <w:pStyle w:val="Style12"/>
        <w:keepNext w:val="0"/>
        <w:keepLines w:val="0"/>
        <w:widowControl w:val="0"/>
        <w:numPr>
          <w:ilvl w:val="0"/>
          <w:numId w:val="25"/>
        </w:numPr>
        <w:shd w:val="clear" w:color="auto" w:fill="auto"/>
        <w:tabs>
          <w:tab w:pos="1021" w:val="left"/>
        </w:tabs>
        <w:bidi w:val="0"/>
        <w:spacing w:before="0" w:after="0" w:line="240" w:lineRule="auto"/>
        <w:ind w:left="0" w:right="0" w:firstLine="760"/>
        <w:jc w:val="both"/>
      </w:pPr>
      <w:r>
        <w:rPr>
          <w:rStyle w:val="CharStyle13"/>
        </w:rPr>
        <w:t>Извещатель пожарный тепловой точечный адресно-аналоговый проводной “СПК- Т”;</w:t>
      </w:r>
    </w:p>
    <w:p>
      <w:pPr>
        <w:pStyle w:val="Style12"/>
        <w:keepNext w:val="0"/>
        <w:keepLines w:val="0"/>
        <w:widowControl w:val="0"/>
        <w:numPr>
          <w:ilvl w:val="0"/>
          <w:numId w:val="25"/>
        </w:numPr>
        <w:shd w:val="clear" w:color="auto" w:fill="auto"/>
        <w:tabs>
          <w:tab w:pos="1699" w:val="left"/>
        </w:tabs>
        <w:bidi w:val="0"/>
        <w:spacing w:before="0" w:after="0" w:line="240" w:lineRule="auto"/>
        <w:ind w:left="0" w:right="0" w:firstLine="760"/>
        <w:jc w:val="both"/>
      </w:pPr>
      <w:r>
        <w:rPr>
          <w:rStyle w:val="CharStyle13"/>
        </w:rPr>
        <w:t>Извещатель пожарный ручной адресный проводной “СПК-ИПР”;</w:t>
      </w:r>
    </w:p>
    <w:p>
      <w:pPr>
        <w:pStyle w:val="Style12"/>
        <w:keepNext w:val="0"/>
        <w:keepLines w:val="0"/>
        <w:widowControl w:val="0"/>
        <w:numPr>
          <w:ilvl w:val="0"/>
          <w:numId w:val="25"/>
        </w:numPr>
        <w:shd w:val="clear" w:color="auto" w:fill="auto"/>
        <w:tabs>
          <w:tab w:pos="1026" w:val="left"/>
        </w:tabs>
        <w:bidi w:val="0"/>
        <w:spacing w:before="0" w:after="0" w:line="240" w:lineRule="auto"/>
        <w:ind w:left="0" w:right="0" w:firstLine="760"/>
        <w:jc w:val="both"/>
      </w:pPr>
      <w:r>
        <w:rPr>
          <w:rStyle w:val="CharStyle13"/>
        </w:rPr>
        <w:t>Извещатель пожарный дымовой линейный адресно-аналоговый проводной “СПК- ДЛ”</w:t>
      </w:r>
    </w:p>
    <w:p>
      <w:pPr>
        <w:pStyle w:val="Style12"/>
        <w:keepNext w:val="0"/>
        <w:keepLines w:val="0"/>
        <w:widowControl w:val="0"/>
        <w:numPr>
          <w:ilvl w:val="0"/>
          <w:numId w:val="25"/>
        </w:numPr>
        <w:shd w:val="clear" w:color="auto" w:fill="auto"/>
        <w:tabs>
          <w:tab w:pos="1719" w:val="left"/>
        </w:tabs>
        <w:bidi w:val="0"/>
        <w:spacing w:before="0" w:after="0" w:line="240" w:lineRule="auto"/>
        <w:ind w:left="0" w:right="0" w:firstLine="740"/>
        <w:jc w:val="both"/>
      </w:pPr>
      <w:r>
        <w:rPr>
          <w:rStyle w:val="CharStyle13"/>
        </w:rPr>
        <w:t xml:space="preserve">Источник вторичного электропитания резервированный “СКАТ-2400И7 исп. </w:t>
      </w:r>
      <w:r>
        <w:rPr>
          <w:rStyle w:val="CharStyle13"/>
          <w:lang w:val="en-US" w:eastAsia="en-US"/>
        </w:rPr>
        <w:t>5000”;</w:t>
      </w:r>
    </w:p>
    <w:p>
      <w:pPr>
        <w:pStyle w:val="Style12"/>
        <w:keepNext w:val="0"/>
        <w:keepLines w:val="0"/>
        <w:widowControl w:val="0"/>
        <w:numPr>
          <w:ilvl w:val="0"/>
          <w:numId w:val="25"/>
        </w:numPr>
        <w:shd w:val="clear" w:color="auto" w:fill="auto"/>
        <w:tabs>
          <w:tab w:pos="1719" w:val="left"/>
        </w:tabs>
        <w:bidi w:val="0"/>
        <w:spacing w:before="0" w:after="260" w:line="240" w:lineRule="auto"/>
        <w:ind w:left="0" w:right="0" w:firstLine="740"/>
        <w:jc w:val="both"/>
      </w:pPr>
      <w:r>
        <w:rPr>
          <w:rStyle w:val="CharStyle13"/>
        </w:rPr>
        <w:t>Блок исполнительный адресный “СПК-ИБ1”;</w:t>
      </w:r>
    </w:p>
    <w:p>
      <w:pPr>
        <w:pStyle w:val="Style12"/>
        <w:keepNext w:val="0"/>
        <w:keepLines w:val="0"/>
        <w:widowControl w:val="0"/>
        <w:shd w:val="clear" w:color="auto" w:fill="auto"/>
        <w:bidi w:val="0"/>
        <w:spacing w:before="0" w:after="0" w:line="240" w:lineRule="auto"/>
        <w:ind w:left="0" w:right="0" w:firstLine="740"/>
        <w:jc w:val="both"/>
      </w:pPr>
      <w:r>
        <w:rPr>
          <w:rStyle w:val="CharStyle13"/>
          <w:lang w:val="en-US" w:eastAsia="en-US"/>
        </w:rPr>
        <w:t xml:space="preserve">2.2 </w:t>
      </w:r>
      <w:r>
        <w:rPr>
          <w:rStyle w:val="CharStyle13"/>
        </w:rPr>
        <w:t>Система пожарной автоматики (СПА).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состав системы автоматизации входят следующие устройства и исполнительные блоки:</w:t>
      </w:r>
    </w:p>
    <w:p>
      <w:pPr>
        <w:pStyle w:val="Style12"/>
        <w:keepNext w:val="0"/>
        <w:keepLines w:val="0"/>
        <w:widowControl w:val="0"/>
        <w:numPr>
          <w:ilvl w:val="0"/>
          <w:numId w:val="27"/>
        </w:numPr>
        <w:shd w:val="clear" w:color="auto" w:fill="auto"/>
        <w:tabs>
          <w:tab w:pos="1021" w:val="left"/>
        </w:tabs>
        <w:bidi w:val="0"/>
        <w:spacing w:before="0" w:after="0" w:line="240" w:lineRule="auto"/>
        <w:ind w:left="0" w:right="0" w:firstLine="760"/>
        <w:jc w:val="both"/>
      </w:pPr>
      <w:r>
        <w:rPr>
          <w:rStyle w:val="CharStyle13"/>
        </w:rPr>
        <w:t>Прибор приёмно-контрольный и управления пожарный “Панель-3-ПРО исп. Л "СПЕКТР", вар. Р302-22”;</w:t>
      </w:r>
    </w:p>
    <w:p>
      <w:pPr>
        <w:pStyle w:val="Style12"/>
        <w:keepNext w:val="0"/>
        <w:keepLines w:val="0"/>
        <w:widowControl w:val="0"/>
        <w:numPr>
          <w:ilvl w:val="0"/>
          <w:numId w:val="27"/>
        </w:numPr>
        <w:shd w:val="clear" w:color="auto" w:fill="auto"/>
        <w:tabs>
          <w:tab w:pos="1699" w:val="left"/>
        </w:tabs>
        <w:bidi w:val="0"/>
        <w:spacing w:before="0" w:after="0" w:line="240" w:lineRule="auto"/>
        <w:ind w:left="0" w:right="0" w:firstLine="760"/>
        <w:jc w:val="both"/>
      </w:pPr>
      <w:r>
        <w:rPr>
          <w:rStyle w:val="CharStyle13"/>
        </w:rPr>
        <w:t>Существующая объектовая станция Стрелец-мониторинг исп.2.</w:t>
      </w:r>
    </w:p>
    <w:p>
      <w:pPr>
        <w:pStyle w:val="Style12"/>
        <w:keepNext w:val="0"/>
        <w:keepLines w:val="0"/>
        <w:widowControl w:val="0"/>
        <w:numPr>
          <w:ilvl w:val="0"/>
          <w:numId w:val="27"/>
        </w:numPr>
        <w:shd w:val="clear" w:color="auto" w:fill="auto"/>
        <w:tabs>
          <w:tab w:pos="1699" w:val="left"/>
        </w:tabs>
        <w:bidi w:val="0"/>
        <w:spacing w:before="0" w:after="0" w:line="240" w:lineRule="auto"/>
        <w:ind w:left="0" w:right="0" w:firstLine="760"/>
        <w:jc w:val="both"/>
      </w:pPr>
      <w:r>
        <w:rPr>
          <w:rStyle w:val="CharStyle13"/>
        </w:rPr>
        <w:t>Блок исполнительный адресный “СПК-ИБ1”».</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Частью </w:t>
      </w:r>
      <w:r>
        <w:rPr>
          <w:rStyle w:val="CharStyle13"/>
          <w:lang w:val="en-US" w:eastAsia="en-US"/>
        </w:rPr>
        <w:t xml:space="preserve">1 </w:t>
      </w:r>
      <w:r>
        <w:rPr>
          <w:rStyle w:val="CharStyle13"/>
        </w:rPr>
        <w:t xml:space="preserve">статьи </w:t>
      </w:r>
      <w:r>
        <w:rPr>
          <w:rStyle w:val="CharStyle13"/>
          <w:lang w:val="en-US" w:eastAsia="en-US"/>
        </w:rPr>
        <w:t xml:space="preserve">34 </w:t>
      </w:r>
      <w:r>
        <w:rPr>
          <w:rStyle w:val="CharStyle13"/>
        </w:rPr>
        <w:t>Закона о контрактной системе установлено,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отмечает, исходя из положений статей </w:t>
      </w:r>
      <w:r>
        <w:rPr>
          <w:rStyle w:val="CharStyle13"/>
          <w:lang w:val="en-US" w:eastAsia="en-US"/>
        </w:rPr>
        <w:t xml:space="preserve">34, 51 </w:t>
      </w:r>
      <w:r>
        <w:rPr>
          <w:rStyle w:val="CharStyle13"/>
        </w:rPr>
        <w:t>Закона о контрактной системе следует, что победитель не наделен правом изменения условий извещения о проведении закупки посредством протокола разногласий, равно как и Заказчик не наделен правом вносить какие-либо изменения в проект контракта помимо включения информации о победителе аукциона и его предложенной цене.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Кроме того, в документе «176-Общие условия закупки (раздел </w:t>
      </w:r>
      <w:r>
        <w:rPr>
          <w:rStyle w:val="CharStyle13"/>
          <w:lang w:val="en-US" w:eastAsia="en-US"/>
        </w:rPr>
        <w:t xml:space="preserve">I извещения).docx» </w:t>
      </w:r>
      <w:r>
        <w:rPr>
          <w:rStyle w:val="CharStyle13"/>
        </w:rPr>
        <w:t xml:space="preserve">в подпункте </w:t>
      </w:r>
      <w:r>
        <w:rPr>
          <w:rStyle w:val="CharStyle13"/>
          <w:lang w:val="en-US" w:eastAsia="en-US"/>
        </w:rPr>
        <w:t xml:space="preserve">4 </w:t>
      </w:r>
      <w:r>
        <w:rPr>
          <w:rStyle w:val="CharStyle13"/>
        </w:rPr>
        <w:t xml:space="preserve">пункта </w:t>
      </w:r>
      <w:r>
        <w:rPr>
          <w:rStyle w:val="CharStyle13"/>
          <w:lang w:val="en-US" w:eastAsia="en-US"/>
        </w:rPr>
        <w:t xml:space="preserve">10 </w:t>
      </w:r>
      <w:r>
        <w:rPr>
          <w:rStyle w:val="CharStyle13"/>
        </w:rPr>
        <w:t xml:space="preserve">раздела </w:t>
      </w:r>
      <w:r>
        <w:rPr>
          <w:rStyle w:val="CharStyle13"/>
          <w:lang w:val="en-US" w:eastAsia="en-US"/>
        </w:rPr>
        <w:t xml:space="preserve">I </w:t>
      </w:r>
      <w:r>
        <w:rPr>
          <w:rStyle w:val="CharStyle13"/>
        </w:rPr>
        <w:t>извещения «Инструкция по заполнению заявки на участие</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в закупке» указано: «Дополнительно предоставленные в составе заявки сведения </w:t>
      </w:r>
      <w:r>
        <w:rPr>
          <w:rStyle w:val="CharStyle13"/>
          <w:lang w:val="en-US" w:eastAsia="en-US"/>
        </w:rPr>
        <w:t xml:space="preserve">…… </w:t>
      </w:r>
      <w:r>
        <w:rPr>
          <w:rStyle w:val="CharStyle13"/>
        </w:rPr>
        <w:t>а также характеристиках предлагаемого участником закупки товара, представленные в виде отдельного файла, не рассматриваются комиссией по осуществлению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При этом каких-либо запросов на разъяснение требований к характеристикам товара, инструкции по заполнению заявки и иных положений извещения от заявителя не поступало.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 учетом изложенного Комиссия Управления отмечает, что Заказчиком правомерно не учтены требования протокола разногласий, размещенного участником, с которым заключается контракт, поскольку требуемое оборудование изначально размещено в составе Проектно-сметной документации извещения.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Вместе с тем на момент подачи заявки Заявитель не оспаривал положения извещения об осуществлении закупки, тем самым принял на себя риски по несоблюдению вышеуказанных условий.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Заявителем жалобы не предоставлены документы и сведения, позволяющие Комиссии прийти к выводу о нарушении прав и законных интересов Заявителя.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Комиссия Управления приходит к выводу, что довод жалобы не находит своего подтверждения и является необоснованным.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Между тем в ходе внеплановой проверки Комиссией Управления определено нижеследующее.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пунктами </w:t>
      </w:r>
      <w:r>
        <w:rPr>
          <w:rStyle w:val="CharStyle13"/>
          <w:lang w:val="en-US" w:eastAsia="en-US"/>
        </w:rPr>
        <w:t xml:space="preserve">6, 15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в том числе информацию о количестве (за исключением случая, предусмотренного частью </w:t>
      </w:r>
      <w:r>
        <w:rPr>
          <w:rStyle w:val="CharStyle13"/>
          <w:lang w:val="en-US" w:eastAsia="en-US"/>
        </w:rPr>
        <w:t xml:space="preserve">24 </w:t>
      </w:r>
      <w:r>
        <w:rPr>
          <w:rStyle w:val="CharStyle13"/>
        </w:rPr>
        <w:t xml:space="preserve">статьи </w:t>
      </w:r>
      <w:r>
        <w:rPr>
          <w:rStyle w:val="CharStyle13"/>
          <w:lang w:val="en-US" w:eastAsia="en-US"/>
        </w:rPr>
        <w:t xml:space="preserve">22 </w:t>
      </w:r>
      <w:r>
        <w:rPr>
          <w:rStyle w:val="CharStyle13"/>
        </w:rPr>
        <w:t xml:space="preserve">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 а также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Частью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контрактной системе. Если иное не предусмотрено мерами, принятыми Правительством Российской Федерации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положения статьи </w:t>
      </w:r>
      <w:r>
        <w:rPr>
          <w:rStyle w:val="CharStyle13"/>
          <w:lang w:val="en-US" w:eastAsia="en-US"/>
        </w:rPr>
        <w:t xml:space="preserve">14 </w:t>
      </w:r>
      <w:r>
        <w:rPr>
          <w:rStyle w:val="CharStyle13"/>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подпунктам «а-в»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Правительство Российской Федерации вправе с учетом положений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Закона о контрактной системе принимать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Комиссией установлено, что согласно Проектно-сметная документация </w:t>
      </w:r>
      <w:r>
        <w:rPr>
          <w:rStyle w:val="CharStyle13"/>
          <w:lang w:val="en-US" w:eastAsia="en-US"/>
        </w:rPr>
        <w:t xml:space="preserve">№72-24- </w:t>
      </w:r>
      <w:r>
        <w:rPr>
          <w:rStyle w:val="CharStyle13"/>
        </w:rPr>
        <w:t xml:space="preserve">АПС.СПА.СОУЭ подрядчик в ходе исполнения контракта обязан осуществить поставку оборудования, в отношении которого не установлены запрет, ограничение, преимущество закупок товаров, происходящих из иностранных государств, а также преимущество в отношении товаров российского происхождения в соответствии с положениями постановления Правительства Российской Федерации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Проектно-сметная документация №72-24-АПС.СПА.СОУЭ, в которой указано: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«Входной контроль технических средств и материалов При поставке (приемке) технических средств и материалов на объекте должен быть выполнених входной контроль. Входной контроль необходимо выполнять до монтажных работ, и он должен включать в себя следующее:</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 </w:t>
      </w:r>
      <w:r>
        <w:rPr>
          <w:rStyle w:val="CharStyle13"/>
        </w:rPr>
        <w:t>проверка соответствия (марок и моделей) и количества поставленных технических средств и материалов рабочей документации».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пункта </w:t>
      </w:r>
      <w:r>
        <w:rPr>
          <w:rStyle w:val="CharStyle13"/>
          <w:lang w:val="en-US" w:eastAsia="en-US"/>
        </w:rPr>
        <w:t xml:space="preserve">8 </w:t>
      </w:r>
      <w:r>
        <w:rPr>
          <w:rStyle w:val="CharStyle13"/>
        </w:rPr>
        <w:t xml:space="preserve">раздела </w:t>
      </w:r>
      <w:r>
        <w:rPr>
          <w:rStyle w:val="CharStyle13"/>
          <w:lang w:val="en-US" w:eastAsia="en-US"/>
        </w:rPr>
        <w:t xml:space="preserve">1 </w:t>
      </w:r>
      <w:r>
        <w:rPr>
          <w:rStyle w:val="CharStyle13"/>
        </w:rPr>
        <w:t xml:space="preserve">извещения следует, что запрет, ограничение, преимущество предусмотренные статьей </w:t>
      </w:r>
      <w:r>
        <w:rPr>
          <w:rStyle w:val="CharStyle13"/>
          <w:lang w:val="en-US" w:eastAsia="en-US"/>
        </w:rPr>
        <w:t xml:space="preserve">14 </w:t>
      </w:r>
      <w:r>
        <w:rPr>
          <w:rStyle w:val="CharStyle13"/>
        </w:rPr>
        <w:t>Закона о контрактной систем, не установлены.</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1.3 </w:t>
      </w:r>
      <w:r>
        <w:rPr>
          <w:rStyle w:val="CharStyle13"/>
        </w:rPr>
        <w:t>проекта контракта установлено, что работы, указанные в п.1.1, включают в себя поставку, транспортировку материалов, оборудования, приспособлений, инструментов, необходимых для выполнения работ, непосредственно Работы, устранение недостатков и дефектов, выявленных в процессе гарантийной эксплуатации и окончательную сдачу объекта Заказчику в соответствии с условиями Контракта.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Комиссией Нижегородского УФАС России установлено, что указанное в Проектно-</w:t>
      </w:r>
    </w:p>
    <w:p>
      <w:pPr>
        <w:pStyle w:val="Style12"/>
        <w:keepNext w:val="0"/>
        <w:keepLines w:val="0"/>
        <w:widowControl w:val="0"/>
        <w:shd w:val="clear" w:color="auto" w:fill="auto"/>
        <w:bidi w:val="0"/>
        <w:spacing w:before="0" w:after="0" w:line="240" w:lineRule="auto"/>
        <w:ind w:left="0" w:right="0" w:firstLine="0"/>
        <w:jc w:val="both"/>
      </w:pPr>
      <w:r>
        <w:rPr>
          <w:rStyle w:val="CharStyle13"/>
        </w:rPr>
        <w:t>сметной документации №72-24-АПС.СПА.СОУЭ оборудование соответствуют следующим кодам ОКПД2:</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26.30.50.113 - </w:t>
      </w:r>
      <w:r>
        <w:rPr>
          <w:rStyle w:val="CharStyle13"/>
        </w:rPr>
        <w:t>Устройства сигнально-пусковые охранные и охранно-пожарные;</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26.30.50.114 - </w:t>
      </w:r>
      <w:r>
        <w:rPr>
          <w:rStyle w:val="CharStyle13"/>
        </w:rPr>
        <w:t>Приборы управления, приемно-контрольные и оповещатели охранные и охранно-пожарные;</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26.30.50.121 - </w:t>
      </w:r>
      <w:r>
        <w:rPr>
          <w:rStyle w:val="CharStyle13"/>
        </w:rPr>
        <w:t>Извещатели пожарные;</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26.30.50.129 - </w:t>
      </w:r>
      <w:r>
        <w:rPr>
          <w:rStyle w:val="CharStyle13"/>
        </w:rPr>
        <w:t>Приборы и аппаратура для систем автоматического пожаротушения и пожарной сигнализации прочие, не включенные в другие группировки.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Указанное свидетельствует о том, что в рассматриваемом извещении фактически Заказчику требуется не только выполнение работ, но и поставка товара.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Однако Комиссией Нижегородского УФАС России установлено, что извещение об осуществлении закупки сформировано Заказчиком без указания на необходимость поставки товара. В описании объекта закупки отсутствует информация о предполагаемом к поставке оборудовании, в том числе коды ОКПД2 оборудования, поставляемого при производстве работ, что не соответствует пунктам </w:t>
      </w:r>
      <w:r>
        <w:rPr>
          <w:rStyle w:val="CharStyle13"/>
          <w:lang w:val="en-US" w:eastAsia="en-US"/>
        </w:rPr>
        <w:t xml:space="preserve">1, 2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 xml:space="preserve">и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Также Комиссией Нижегородского УФАС России установлено, что коды ОКПД2, соответствующие предполагаемому к поставку товару, содержатся в Перечне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являющемся приложением </w:t>
      </w:r>
      <w:r>
        <w:rPr>
          <w:rStyle w:val="CharStyle13"/>
          <w:lang w:val="en-US" w:eastAsia="en-US"/>
        </w:rPr>
        <w:t xml:space="preserve">№2 </w:t>
      </w:r>
      <w:r>
        <w:rPr>
          <w:rStyle w:val="CharStyle13"/>
        </w:rPr>
        <w:t xml:space="preserve">к Постановлению </w:t>
      </w:r>
      <w:r>
        <w:rPr>
          <w:rStyle w:val="CharStyle13"/>
          <w:lang w:val="en-US" w:eastAsia="en-US"/>
        </w:rPr>
        <w:t xml:space="preserve">№ 1875 </w:t>
      </w:r>
      <w:r>
        <w:rPr>
          <w:rStyle w:val="CharStyle13"/>
        </w:rPr>
        <w:t xml:space="preserve">(далее </w:t>
      </w:r>
      <w:r>
        <w:rPr>
          <w:rStyle w:val="CharStyle13"/>
          <w:lang w:val="en-US" w:eastAsia="en-US"/>
        </w:rPr>
        <w:t xml:space="preserve">- </w:t>
      </w:r>
      <w:r>
        <w:rPr>
          <w:rStyle w:val="CharStyle13"/>
        </w:rPr>
        <w:t>Перечень).</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Следовательно, в рассматриваемом случае при производстве работ подразумевается поставка оборудования, содержащегося в Перечне, утвержденном Постановлением </w:t>
      </w:r>
      <w:r>
        <w:rPr>
          <w:rStyle w:val="CharStyle13"/>
          <w:lang w:val="en-US" w:eastAsia="en-US"/>
        </w:rPr>
        <w:t xml:space="preserve">№ 1875, </w:t>
      </w:r>
      <w:r>
        <w:rPr>
          <w:rStyle w:val="CharStyle13"/>
        </w:rPr>
        <w:t xml:space="preserve">что, в силу пункта </w:t>
      </w:r>
      <w:r>
        <w:rPr>
          <w:rStyle w:val="CharStyle13"/>
          <w:lang w:val="en-US" w:eastAsia="en-US"/>
        </w:rPr>
        <w:t xml:space="preserve">1 </w:t>
      </w:r>
      <w:r>
        <w:rPr>
          <w:rStyle w:val="CharStyle13"/>
        </w:rPr>
        <w:t xml:space="preserve">Постановления </w:t>
      </w:r>
      <w:r>
        <w:rPr>
          <w:rStyle w:val="CharStyle13"/>
          <w:lang w:val="en-US" w:eastAsia="en-US"/>
        </w:rPr>
        <w:t xml:space="preserve">№1875, </w:t>
      </w:r>
      <w:r>
        <w:rPr>
          <w:rStyle w:val="CharStyle13"/>
        </w:rPr>
        <w:t>предполагает установление в извещении ограничений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Учитывая, что извещение о проведении закупки не содержит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действия Заказчика не соответствуют пункта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Таким образом, Заказчик, ненадлежащим образом сформировав описание объекта закупки, и, как следствие, не установив ограничения допуска в соответствии с Постановлением </w:t>
      </w:r>
      <w:r>
        <w:rPr>
          <w:rStyle w:val="CharStyle13"/>
          <w:lang w:val="en-US" w:eastAsia="en-US"/>
        </w:rPr>
        <w:t xml:space="preserve">№1875, </w:t>
      </w:r>
      <w:r>
        <w:rPr>
          <w:rStyle w:val="CharStyle13"/>
        </w:rPr>
        <w:t xml:space="preserve">допустил нарушение требований, установленных пунктами </w:t>
      </w:r>
      <w:r>
        <w:rPr>
          <w:rStyle w:val="CharStyle13"/>
          <w:lang w:val="en-US" w:eastAsia="en-US"/>
        </w:rPr>
        <w:t xml:space="preserve">1, 2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 xml:space="preserve">пунктом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и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частью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По мнению Комиссии Нижегородского УФАС России, нарушения допущенные комиссией в ходе проведения закупочной процедуры в данном случае могут быть устранены только путем внесением изменений в извещение о проведении закупки и проведения процедуры определения поставщика (подрядчика, исполнителя) повторно. Комиссия Нижегородского УФАС России приходит к выводу о необходимости и</w:t>
      </w:r>
      <w:r>
        <w:br w:type="page"/>
      </w:r>
    </w:p>
    <w:p>
      <w:pPr>
        <w:pStyle w:val="Style12"/>
        <w:keepNext w:val="0"/>
        <w:keepLines w:val="0"/>
        <w:widowControl w:val="0"/>
        <w:shd w:val="clear" w:color="auto" w:fill="auto"/>
        <w:bidi w:val="0"/>
        <w:spacing w:before="0" w:after="0" w:line="240" w:lineRule="auto"/>
        <w:ind w:left="0" w:right="0" w:firstLine="0"/>
        <w:jc w:val="left"/>
      </w:pPr>
      <w:r>
        <w:rPr>
          <w:rStyle w:val="CharStyle13"/>
        </w:rPr>
        <w:t>целесообразности выдачи соответствующего предписания.</w:t>
      </w:r>
    </w:p>
    <w:p>
      <w:pPr>
        <w:pStyle w:val="Style12"/>
        <w:keepNext w:val="0"/>
        <w:keepLines w:val="0"/>
        <w:widowControl w:val="0"/>
        <w:shd w:val="clear" w:color="auto" w:fill="auto"/>
        <w:bidi w:val="0"/>
        <w:spacing w:before="0" w:after="260" w:line="240" w:lineRule="auto"/>
        <w:ind w:left="0" w:right="0" w:firstLine="76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решила:</w:t>
      </w:r>
    </w:p>
    <w:p>
      <w:pPr>
        <w:pStyle w:val="Style12"/>
        <w:keepNext w:val="0"/>
        <w:keepLines w:val="0"/>
        <w:widowControl w:val="0"/>
        <w:numPr>
          <w:ilvl w:val="0"/>
          <w:numId w:val="29"/>
        </w:numPr>
        <w:shd w:val="clear" w:color="auto" w:fill="auto"/>
        <w:tabs>
          <w:tab w:pos="1126" w:val="left"/>
        </w:tabs>
        <w:bidi w:val="0"/>
        <w:spacing w:before="0" w:after="0" w:line="240" w:lineRule="auto"/>
        <w:ind w:left="0" w:right="0" w:firstLine="760"/>
        <w:jc w:val="both"/>
      </w:pPr>
      <w:r>
        <w:rPr>
          <w:rStyle w:val="CharStyle13"/>
        </w:rPr>
        <w:t xml:space="preserve">Признать жалобу общества с ограниченной ответственностью «ДДТ-СЕРВИС» о нарушении Муниципальным бюджетным учреждением дополнительного образования «Спортивная школа «Физкультурно-оздоровительный комплекс «ОКА»»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«Монтаж системы пожарной сигнализации и системы оповещения и управления эвакуацией (176-ЭА-26-МН)», номер извещения </w:t>
      </w:r>
      <w:r>
        <w:rPr>
          <w:rStyle w:val="CharStyle13"/>
          <w:lang w:val="en-US" w:eastAsia="en-US"/>
        </w:rPr>
        <w:t xml:space="preserve">0132300001726000162, </w:t>
      </w:r>
      <w:r>
        <w:rPr>
          <w:rStyle w:val="CharStyle13"/>
        </w:rPr>
        <w:t>необоснованной.</w:t>
      </w:r>
    </w:p>
    <w:p>
      <w:pPr>
        <w:pStyle w:val="Style12"/>
        <w:keepNext w:val="0"/>
        <w:keepLines w:val="0"/>
        <w:widowControl w:val="0"/>
        <w:numPr>
          <w:ilvl w:val="0"/>
          <w:numId w:val="29"/>
        </w:numPr>
        <w:shd w:val="clear" w:color="auto" w:fill="auto"/>
        <w:tabs>
          <w:tab w:pos="1126" w:val="left"/>
        </w:tabs>
        <w:bidi w:val="0"/>
        <w:spacing w:before="0" w:after="0" w:line="240" w:lineRule="auto"/>
        <w:ind w:left="0" w:right="0" w:firstLine="760"/>
        <w:jc w:val="both"/>
      </w:pPr>
      <w:r>
        <w:rPr>
          <w:rStyle w:val="CharStyle13"/>
        </w:rPr>
        <w:t xml:space="preserve">Признать Заказчика нарушившим пункты </w:t>
      </w:r>
      <w:r>
        <w:rPr>
          <w:rStyle w:val="CharStyle13"/>
          <w:lang w:val="en-US" w:eastAsia="en-US"/>
        </w:rPr>
        <w:t xml:space="preserve">1, 2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 xml:space="preserve">пункт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и пункт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частью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29"/>
        </w:numPr>
        <w:shd w:val="clear" w:color="auto" w:fill="auto"/>
        <w:tabs>
          <w:tab w:pos="1126" w:val="left"/>
        </w:tabs>
        <w:bidi w:val="0"/>
        <w:spacing w:before="0" w:after="0" w:line="240" w:lineRule="auto"/>
        <w:ind w:left="0" w:right="0" w:firstLine="760"/>
        <w:jc w:val="both"/>
      </w:pPr>
      <w:r>
        <w:rPr>
          <w:rStyle w:val="CharStyle13"/>
        </w:rPr>
        <w:t>Выдать Заказчику, уполномоченному органу, комиссии по осуществлению закупок и оператору электронной площадки предписание об устранении нарушений законодательства о контрактной системе в сфере закупок.</w:t>
      </w:r>
    </w:p>
    <w:p>
      <w:pPr>
        <w:pStyle w:val="Style12"/>
        <w:keepNext w:val="0"/>
        <w:keepLines w:val="0"/>
        <w:widowControl w:val="0"/>
        <w:numPr>
          <w:ilvl w:val="0"/>
          <w:numId w:val="29"/>
        </w:numPr>
        <w:shd w:val="clear" w:color="auto" w:fill="auto"/>
        <w:tabs>
          <w:tab w:pos="1131" w:val="left"/>
        </w:tabs>
        <w:bidi w:val="0"/>
        <w:spacing w:before="0" w:after="0" w:line="240" w:lineRule="auto"/>
        <w:ind w:left="0" w:right="0" w:firstLine="760"/>
        <w:jc w:val="both"/>
      </w:pPr>
      <w:r>
        <w:rPr>
          <w:rStyle w:val="CharStyle13"/>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2"/>
        <w:keepNext w:val="0"/>
        <w:keepLines w:val="0"/>
        <w:widowControl w:val="0"/>
        <w:shd w:val="clear" w:color="auto" w:fill="auto"/>
        <w:bidi w:val="0"/>
        <w:spacing w:before="0" w:after="520" w:line="240" w:lineRule="auto"/>
        <w:ind w:left="0" w:right="0" w:firstLine="76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680" w:line="240" w:lineRule="auto"/>
        <w:ind w:left="0" w:right="0" w:firstLine="0"/>
        <w:jc w:val="left"/>
      </w:pPr>
      <w:r>
        <mc:AlternateContent>
          <mc:Choice Requires="wps">
            <w:drawing>
              <wp:anchor distT="0" distB="640080" distL="288290" distR="114300" simplePos="0" relativeHeight="125829383" behindDoc="0" locked="0" layoutInCell="1" allowOverlap="1">
                <wp:simplePos x="0" y="0"/>
                <wp:positionH relativeFrom="page">
                  <wp:posOffset>6257290</wp:posOffset>
                </wp:positionH>
                <wp:positionV relativeFrom="paragraph">
                  <wp:posOffset>12700</wp:posOffset>
                </wp:positionV>
                <wp:extent cx="953770" cy="234950"/>
                <wp:wrapSquare wrapText="left"/>
                <wp:docPr id="15" name="Shape 15"/>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wps:txbx>
                      <wps:bodyPr wrap="none" lIns="0" tIns="0" rIns="0" bIns="0">
                        <a:noAutoFit/>
                      </wps:bodyPr>
                    </wps:wsp>
                  </a:graphicData>
                </a:graphic>
              </wp:anchor>
            </w:drawing>
          </mc:Choice>
          <mc:Fallback>
            <w:pict>
              <v:shape id="_x0000_s1041" type="#_x0000_t202" style="position:absolute;margin-left:492.69999999999999pt;margin-top:1.pt;width:75.100000000000009pt;height:18.5pt;z-index:-125829370;mso-wrap-distance-left:22.699999999999999pt;mso-wrap-distance-right:9.pt;mso-wrap-distance-bottom:50.3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v:textbox>
                <w10:wrap type="square" side="left" anchorx="page"/>
              </v:shape>
            </w:pict>
          </mc:Fallback>
        </mc:AlternateContent>
      </w:r>
      <w:r>
        <mc:AlternateContent>
          <mc:Choice Requires="wps">
            <w:drawing>
              <wp:anchor distT="640080" distB="0" distL="114300" distR="117475" simplePos="0" relativeHeight="125829385" behindDoc="0" locked="0" layoutInCell="1" allowOverlap="1">
                <wp:simplePos x="0" y="0"/>
                <wp:positionH relativeFrom="page">
                  <wp:posOffset>6083300</wp:posOffset>
                </wp:positionH>
                <wp:positionV relativeFrom="paragraph">
                  <wp:posOffset>652780</wp:posOffset>
                </wp:positionV>
                <wp:extent cx="1124585" cy="234950"/>
                <wp:wrapSquare wrapText="left"/>
                <wp:docPr id="17" name="Shape 17"/>
                <a:graphic xmlns:a="http://schemas.openxmlformats.org/drawingml/2006/main">
                  <a:graphicData uri="http://schemas.microsoft.com/office/word/2010/wordprocessingShape">
                    <wps:wsp>
                      <wps:cNvSpPr txBox="1"/>
                      <wps:spPr>
                        <a:xfrm>
                          <a:ext cx="112458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Д.А. Колденков</w:t>
                            </w:r>
                          </w:p>
                        </w:txbxContent>
                      </wps:txbx>
                      <wps:bodyPr wrap="none" lIns="0" tIns="0" rIns="0" bIns="0">
                        <a:noAutoFit/>
                      </wps:bodyPr>
                    </wps:wsp>
                  </a:graphicData>
                </a:graphic>
              </wp:anchor>
            </w:drawing>
          </mc:Choice>
          <mc:Fallback>
            <w:pict>
              <v:shape id="_x0000_s1043" type="#_x0000_t202" style="position:absolute;margin-left:479.pt;margin-top:51.399999999999999pt;width:88.549999999999997pt;height:18.5pt;z-index:-125829368;mso-wrap-distance-left:9.pt;mso-wrap-distance-top:50.399999999999999pt;mso-wrap-distance-right:9.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Д.А. Колденков</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68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1000" w:line="240" w:lineRule="auto"/>
        <w:ind w:left="0" w:right="0" w:firstLine="0"/>
        <w:jc w:val="right"/>
      </w:pPr>
      <w:r>
        <w:rPr>
          <w:rStyle w:val="CharStyle13"/>
        </w:rPr>
        <w:t>Ю.К. Лебедева</w:t>
      </w:r>
    </w:p>
    <w:p>
      <w:pPr>
        <w:pStyle w:val="Style18"/>
        <w:keepNext w:val="0"/>
        <w:keepLines w:val="0"/>
        <w:widowControl w:val="0"/>
        <w:shd w:val="clear" w:color="auto" w:fill="auto"/>
        <w:bidi w:val="0"/>
        <w:spacing w:before="0" w:after="0" w:line="240" w:lineRule="auto"/>
        <w:ind w:left="0" w:right="0" w:firstLine="0"/>
        <w:jc w:val="left"/>
      </w:pPr>
      <w:r>
        <w:rPr>
          <w:rStyle w:val="CharStyle19"/>
        </w:rPr>
        <w:t>тел.8(831)431-73-95, вн.052-301</w:t>
      </w:r>
    </w:p>
    <w:sectPr>
      <w:footnotePr>
        <w:pos w:val="pageBottom"/>
        <w:numFmt w:val="decimal"/>
        <w:numRestart w:val="continuous"/>
      </w:footnotePr>
      <w:type w:val="continuous"/>
      <w:pgSz w:w="11900" w:h="16840"/>
      <w:pgMar w:top="1437" w:right="539" w:bottom="1297"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777240</wp:posOffset>
              </wp:positionH>
              <wp:positionV relativeFrom="page">
                <wp:posOffset>10184765</wp:posOffset>
              </wp:positionV>
              <wp:extent cx="719455" cy="109855"/>
              <wp:wrapNone/>
              <wp:docPr id="5" name="Shape 5"/>
              <a:graphic xmlns:a="http://schemas.openxmlformats.org/drawingml/2006/main">
                <a:graphicData uri="http://schemas.microsoft.com/office/word/2010/wordprocessingShape">
                  <wps:wsp>
                    <wps:cNvSpPr txBox="1"/>
                    <wps:spPr>
                      <a:xfrm>
                        <a:ext cx="7194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2026-11628</w:t>
                          </w:r>
                        </w:p>
                      </w:txbxContent>
                    </wps:txbx>
                    <wps:bodyPr wrap="none" lIns="0" tIns="0" rIns="0" bIns="0">
                      <a:spAutoFit/>
                    </wps:bodyPr>
                  </wps:wsp>
                </a:graphicData>
              </a:graphic>
            </wp:anchor>
          </w:drawing>
        </mc:Choice>
        <mc:Fallback>
          <w:pict>
            <v:shape id="_x0000_s1031" type="#_x0000_t202" style="position:absolute;margin-left:61.200000000000003pt;margin-top:801.95000000000005pt;width:56.649999999999999pt;height:8.6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2026-11628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888365</wp:posOffset>
              </wp:positionH>
              <wp:positionV relativeFrom="page">
                <wp:posOffset>10034270</wp:posOffset>
              </wp:positionV>
              <wp:extent cx="719455" cy="106680"/>
              <wp:wrapNone/>
              <wp:docPr id="7" name="Shape 7"/>
              <a:graphic xmlns:a="http://schemas.openxmlformats.org/drawingml/2006/main">
                <a:graphicData uri="http://schemas.microsoft.com/office/word/2010/wordprocessingShape">
                  <wps:wsp>
                    <wps:cNvSpPr txBox="1"/>
                    <wps:spPr>
                      <a:xfrm>
                        <a:ext cx="71945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2026-11628</w:t>
                          </w:r>
                        </w:p>
                      </w:txbxContent>
                    </wps:txbx>
                    <wps:bodyPr wrap="none" lIns="0" tIns="0" rIns="0" bIns="0">
                      <a:spAutoFit/>
                    </wps:bodyPr>
                  </wps:wsp>
                </a:graphicData>
              </a:graphic>
            </wp:anchor>
          </w:drawing>
        </mc:Choice>
        <mc:Fallback>
          <w:pict>
            <v:shape id="_x0000_s1033" type="#_x0000_t202" style="position:absolute;margin-left:69.950000000000003pt;margin-top:790.10000000000002pt;width:56.649999999999999pt;height:8.4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2026-11628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3891915</wp:posOffset>
              </wp:positionH>
              <wp:positionV relativeFrom="page">
                <wp:posOffset>739140</wp:posOffset>
              </wp:positionV>
              <wp:extent cx="125095" cy="73025"/>
              <wp:wrapNone/>
              <wp:docPr id="3" name="Shape 3"/>
              <a:graphic xmlns:a="http://schemas.openxmlformats.org/drawingml/2006/main">
                <a:graphicData uri="http://schemas.microsoft.com/office/word/2010/wordprocessingShape">
                  <wps:wsp>
                    <wps:cNvSpPr txBox="1"/>
                    <wps:spPr>
                      <a:xfrm>
                        <a:ext cx="12509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44999999999999pt;margin-top:58.200000000000003pt;width:9.8499999999999996pt;height:5.7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8">
    <w:multiLevelType w:val="multilevel"/>
    <w:lvl w:ilvl="0">
      <w:start w:val="8"/>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Other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Body text (3)_"/>
    <w:basedOn w:val="DefaultParagraphFont"/>
    <w:link w:val="Style18"/>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4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Other"/>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Body text (3)"/>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s>
</file>