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3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Федеральной антимонопольной службы</w:t>
        <w:br/>
        <w:t>по Калининградской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rStyle w:val="CharStyle6"/>
        </w:rPr>
        <w:t>ул. Барнаульская 4, г. Калининград, 236006</w:t>
        <w:br/>
        <w:t>бокс № 5033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80"/>
        <w:jc w:val="left"/>
      </w:pPr>
      <w:r>
        <w:rPr>
          <w:rStyle w:val="CharStyle6"/>
        </w:rPr>
        <w:t>тел. +7 (499) 755-23-23, доб. 039-111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"mailto:to39@fas.gov.ni" </w:instrText>
      </w:r>
      <w:r>
        <w:fldChar w:fldCharType="separate"/>
      </w:r>
      <w:r>
        <w:rPr>
          <w:rStyle w:val="CharStyle6"/>
          <w:lang w:val="en-US" w:eastAsia="en-US"/>
        </w:rPr>
        <w:t>to39@fas.gov.ni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1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8.05.2026</w:t>
        <w:tab/>
      </w:r>
      <w:r>
        <w:fldChar w:fldCharType="end"/>
      </w:r>
      <w:r>
        <w:rPr>
          <w:rStyle w:val="CharStyle11"/>
        </w:rPr>
        <w:t xml:space="preserve">№ </w:t>
      </w:r>
      <w:r>
        <w:rPr>
          <w:rStyle w:val="CharStyle11"/>
          <w:u w:val="single"/>
        </w:rPr>
        <w:t>НИ/</w:t>
      </w:r>
      <w:r>
        <w:rPr>
          <w:rStyle w:val="CharStyle11"/>
        </w:rPr>
        <w:t>1</w:t>
      </w:r>
      <w:r>
        <w:rPr>
          <w:rStyle w:val="CharStyle11"/>
          <w:u w:val="single"/>
        </w:rPr>
        <w:t>927/2</w:t>
      </w:r>
      <w:r>
        <w:rPr>
          <w:rStyle w:val="CharStyle11"/>
        </w:rPr>
        <w:t>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Решение по результатам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рассмотрения обращения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Росэлторг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"mailto:info@roseltorg.ru" </w:instrText>
      </w:r>
      <w:r>
        <w:fldChar w:fldCharType="separate"/>
      </w:r>
      <w:r>
        <w:rPr>
          <w:rStyle w:val="CharStyle17"/>
          <w:lang w:val="en-US" w:eastAsia="en-US"/>
        </w:rPr>
        <w:t>info@roseltorg.ru</w:t>
      </w:r>
      <w:r>
        <w:fldChar w:fldCharType="end"/>
      </w:r>
      <w:r>
        <w:rPr>
          <w:rStyle w:val="CharStyle17"/>
          <w:lang w:val="en-US" w:eastAsia="en-US"/>
        </w:rPr>
        <w:t xml:space="preserve">, </w:t>
      </w:r>
      <w:r>
        <w:fldChar w:fldCharType="begin"/>
      </w:r>
      <w:r>
        <w:rPr/>
        <w:instrText> HYPERLINK "mailto:Pavlova.AV@roseltorg.ru" </w:instrText>
      </w:r>
      <w:r>
        <w:fldChar w:fldCharType="separate"/>
      </w:r>
      <w:r>
        <w:rPr>
          <w:rStyle w:val="CharStyle17"/>
          <w:lang w:val="en-US" w:eastAsia="en-US"/>
        </w:rPr>
        <w:t>Pavlova.AV@roseltorg.ru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ОБЩЕСТВО С ОГРАНИЧЕННОЙ ОТВЕТСТВЕННОСТЬЮ "ЭКОДОРСЕРВИС"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7"/>
        </w:rPr>
        <w:t>238750, КАЛИНИНГРАДСКАЯ ОБЛАСТЬ, Г. СОВЕТСК, УЛ. КАРЛА ЛИБКНЕХТА, Д. 5, ОФИС 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Администрация муниципального образования «Озерский муниципальный округ Калининградской области» 238120, Калининградская область, 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Озерск, ул. Московская, 9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79" w:right="608" w:bottom="1313" w:left="1135" w:header="0" w:footer="3" w:gutter="0"/>
          <w:pgNumType w:start="1"/>
          <w:cols w:num="2" w:space="720" w:equalWidth="0">
            <w:col w:w="4229" w:space="1042"/>
            <w:col w:w="4886"/>
          </w:cols>
          <w:noEndnote/>
          <w:rtlGutter w:val="0"/>
          <w:docGrid w:linePitch="360"/>
        </w:sectPr>
      </w:pPr>
      <w:r>
        <w:rPr>
          <w:rStyle w:val="CharStyle17"/>
          <w:lang w:val="en-US" w:eastAsia="en-US"/>
        </w:rPr>
        <w:t>ozerskgov@mail.ru;</w:t>
      </w:r>
      <w:r>
        <w:fldChar w:fldCharType="begin"/>
      </w:r>
      <w:r>
        <w:rPr/>
        <w:instrText> HYPERLINK "mailto:e.moskvina@ozrsk.ru" </w:instrText>
      </w:r>
      <w:r>
        <w:fldChar w:fldCharType="separate"/>
      </w:r>
      <w:r>
        <w:rPr>
          <w:rStyle w:val="CharStyle17"/>
          <w:lang w:val="en-US" w:eastAsia="en-US"/>
        </w:rPr>
        <w:t>e.moskvina@ozrsk.ru</w:t>
      </w:r>
      <w:r>
        <w:fldChar w:fldCharType="end"/>
      </w:r>
      <w:r>
        <w:rPr>
          <w:rStyle w:val="CharStyle17"/>
          <w:lang w:val="en-US" w:eastAsia="en-US"/>
        </w:rPr>
        <w:t xml:space="preserve">; </w:t>
      </w:r>
      <w:r>
        <w:fldChar w:fldCharType="begin"/>
      </w:r>
      <w:r>
        <w:rPr/>
        <w:instrText> HYPERLINK "mailto:moozersk@admozersk.gov39.ru" </w:instrText>
      </w:r>
      <w:r>
        <w:fldChar w:fldCharType="separate"/>
      </w:r>
      <w:r>
        <w:rPr>
          <w:rStyle w:val="CharStyle17"/>
          <w:lang w:val="en-US" w:eastAsia="en-US"/>
        </w:rPr>
        <w:t>moozersk@admozersk.gov39.ru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" w:after="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131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  <w:b/>
          <w:bCs/>
        </w:rPr>
        <w:t>РЕШЕНИЕ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5"/>
          <w:b/>
          <w:bCs/>
        </w:rPr>
        <w:t>по делу № 039/06/105-351/2026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24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Резолютивная часть объявлена 13.05.2026</w:t>
        <w:tab/>
        <w:t>г. Калининград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5"/>
        </w:rPr>
        <w:t>Изготовлено в полном объеме 18.05.2026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Style w:val="CharStyle15"/>
        </w:rPr>
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Председатель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Style w:val="CharStyle15"/>
        </w:rPr>
        <w:t>Н.С. Иванова – заместитель руководителя - начальник отдела контроля органов власти, закупок и рекламы Калининградского УФАС России;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Style w:val="CharStyle15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Style w:val="CharStyle15"/>
        </w:rPr>
        <w:t>В.А. Кувыкина –государственный инспектор отдела контроля органов власти, закупок и рекламы Калининградского УФАС России;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Style w:val="CharStyle15"/>
        </w:rPr>
        <w:t>К.В. Лимонова – ведущий специалист – эксперт отдела контроля органов власти, закупок и рекламы Калининградского УФАС России;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Style w:val="CharStyle15"/>
        </w:rPr>
        <w:t>в присутствии представителей заказчика – Администрации муниципального образования «Озерский муниципальный округ Калининградской области»: Овчинникова О.Ю. (по доверенности);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Style w:val="CharStyle15"/>
        </w:rPr>
        <w:t>в присутствии представителя заявителя – ООО «ЭКОДОРСЕРВИС»: Дона В.В. (по доверенности);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left"/>
      </w:pPr>
      <w:r>
        <w:rPr>
          <w:rStyle w:val="CharStyle15"/>
        </w:rPr>
        <w:t xml:space="preserve">рассмотрев в режиме видеоконференцсвязи посредством плагина </w:t>
      </w:r>
      <w:r>
        <w:rPr>
          <w:rStyle w:val="CharStyle15"/>
          <w:lang w:val="en-US" w:eastAsia="en-US"/>
        </w:rPr>
        <w:t xml:space="preserve">«TrueConf» </w:t>
      </w:r>
      <w:r>
        <w:rPr>
          <w:rStyle w:val="CharStyle15"/>
        </w:rPr>
        <w:t>жалобу (вх. № 3407/26 от 04.05.2026) ООО «ЭКОДОРСЕРВИС» (далее - Заявитель) на действия заказчика —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74" w:bottom="1313" w:left="1106" w:header="0" w:footer="3" w:gutter="0"/>
          <w:cols w:space="720"/>
          <w:noEndnote/>
          <w:rtlGutter w:val="0"/>
          <w:docGrid w:linePitch="360"/>
        </w:sectPr>
      </w:pPr>
      <w:r>
        <w:drawing>
          <wp:anchor distT="127000" distB="0" distL="0" distR="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127000</wp:posOffset>
            </wp:positionV>
            <wp:extent cx="1517650" cy="292735"/>
            <wp:wrapTopAndBottom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5"/>
        </w:rPr>
        <w:t xml:space="preserve">Администрации муниципального образования «Озерский муниципальный округ Калининградской области»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Заказчик) при осуществлении открытого конкурса в электронной форме, предметом которого является проведение работ по уничтожению борщевика Сосновского на территории Озерского муниципального округа Калининградской области (извещение </w:t>
      </w:r>
      <w:r>
        <w:rPr>
          <w:rStyle w:val="CharStyle15"/>
          <w:lang w:val="en-US" w:eastAsia="en-US"/>
        </w:rPr>
        <w:t>№ 0335300004326000025).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5"/>
          <w:b/>
          <w:bCs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Управление Федеральной антимонопольной службы по Калининградской области </w:t>
      </w:r>
      <w:r>
        <w:rPr>
          <w:rStyle w:val="CharStyle15"/>
          <w:lang w:val="en-US" w:eastAsia="en-US"/>
        </w:rPr>
        <w:t xml:space="preserve">04.05.2026 </w:t>
      </w:r>
      <w:r>
        <w:rPr>
          <w:rStyle w:val="CharStyle15"/>
        </w:rPr>
        <w:t>поступила жалоба на действия комиссии Заказчика при рассмотрении заявки на участие в закупке.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  <w:b/>
          <w:bCs/>
        </w:rPr>
        <w:t>В обоснование своей жалобы Заявитель привел следующие доводы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По мнению Заявителя, Заказчиком были допущены нарушения Федерального закона от </w:t>
      </w:r>
      <w:r>
        <w:rPr>
          <w:rStyle w:val="CharStyle15"/>
          <w:lang w:val="en-US" w:eastAsia="en-US"/>
        </w:rPr>
        <w:t xml:space="preserve">05.04.2013 № </w:t>
      </w:r>
      <w:r>
        <w:rPr>
          <w:rStyle w:val="CharStyle15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Закон о контрактной системе) при рассмотрении заявки на участие в закупке в части отстранения от участия в закупке участника, имеющего налоговую недоимку не превышающую </w:t>
      </w:r>
      <w:r>
        <w:rPr>
          <w:rStyle w:val="CharStyle15"/>
          <w:lang w:val="en-US" w:eastAsia="en-US"/>
        </w:rPr>
        <w:t xml:space="preserve">25% </w:t>
      </w:r>
      <w:r>
        <w:rPr>
          <w:rStyle w:val="CharStyle15"/>
        </w:rPr>
        <w:t>от балансовой стоимости активов по данным бухгалтерской (финансовой) отчетности.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  <w:b/>
          <w:bCs/>
        </w:rPr>
        <w:t>Заказчиком даны следующие пояснения по сути жалобы Заявителя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Представитель Заказчика на заседании Комиссии с доводом жалобы Заявителя не согласен, считает свои действия соответствующими положениям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  <w:b/>
          <w:bCs/>
        </w:rPr>
        <w:t xml:space="preserve">В результате рассмотрения жалобы и проведения в соответствии с частью </w:t>
      </w:r>
      <w:r>
        <w:rPr>
          <w:rStyle w:val="CharStyle15"/>
          <w:b/>
          <w:bCs/>
          <w:lang w:val="en-US" w:eastAsia="en-US"/>
        </w:rPr>
        <w:t xml:space="preserve">15 </w:t>
      </w:r>
      <w:r>
        <w:rPr>
          <w:rStyle w:val="CharStyle15"/>
          <w:b/>
          <w:bCs/>
        </w:rPr>
        <w:t xml:space="preserve">статьи </w:t>
      </w:r>
      <w:r>
        <w:rPr>
          <w:rStyle w:val="CharStyle15"/>
          <w:b/>
          <w:bCs/>
          <w:lang w:val="en-US" w:eastAsia="en-US"/>
        </w:rPr>
        <w:t xml:space="preserve">99 </w:t>
      </w:r>
      <w:r>
        <w:rPr>
          <w:rStyle w:val="CharStyle15"/>
          <w:b/>
          <w:bCs/>
        </w:rPr>
        <w:t>Закона о контрактной системе внеплановой проверки, Комиссия установила следующее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09.04.2026 </w:t>
      </w:r>
      <w:r>
        <w:rPr>
          <w:rStyle w:val="CharStyle15"/>
        </w:rPr>
        <w:t xml:space="preserve">Заказчиком на официальном сайте единой информационной системы в сфере закупок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ЕИС) размещено извещение об осуществлении закупки </w:t>
      </w:r>
      <w:r>
        <w:rPr>
          <w:rStyle w:val="CharStyle15"/>
          <w:lang w:val="en-US" w:eastAsia="en-US"/>
        </w:rPr>
        <w:t xml:space="preserve">№ 0335300004326000025 </w:t>
      </w:r>
      <w:r>
        <w:rPr>
          <w:rStyle w:val="CharStyle15"/>
        </w:rPr>
        <w:t>с приложениями.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Начальная (максимальная) цена контракта </w:t>
      </w:r>
      <w:r>
        <w:rPr>
          <w:rStyle w:val="CharStyle15"/>
          <w:lang w:val="en-US" w:eastAsia="en-US"/>
        </w:rPr>
        <w:t xml:space="preserve">– 4 676 758,38 </w:t>
      </w:r>
      <w:r>
        <w:rPr>
          <w:rStyle w:val="CharStyle15"/>
        </w:rPr>
        <w:t>рублей.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Объектом закупки является: проведение работ по уничтожению борщевика Сосновского на территории Озерского муниципального округа Калининградской области.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Дата окончания срока подачи заявок: </w:t>
      </w:r>
      <w:r>
        <w:rPr>
          <w:rStyle w:val="CharStyle15"/>
          <w:lang w:val="en-US" w:eastAsia="en-US"/>
        </w:rPr>
        <w:t>27.04.2026.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Заслушав пояснения, рассмотрев материалы дела, сопоставив их с фактическими документами, и проведя внеплановую проверку, Комиссия установила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5"/>
          <w:lang w:val="en-US" w:eastAsia="en-US"/>
        </w:rPr>
        <w:t xml:space="preserve">28.04.2026 </w:t>
      </w:r>
      <w:r>
        <w:rPr>
          <w:rStyle w:val="CharStyle15"/>
        </w:rPr>
        <w:t xml:space="preserve">№ИЭОК1 Комиссия по осуществлению закупок приняла решение об отклонении заявки с указанием следующего обоснования «Отклонить заявку на участие в закупке по п.3 ч.12 ст.48 №44-ФЗ «Несоответствие участника закупки требованиям, установленным в извещении об осуществлении закупки в соответствии с ч.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с.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44-ФЗ, требованиям, установленным в извещении об осуществлении закупки в соответствии с ч.ч. </w:t>
      </w:r>
      <w:r>
        <w:rPr>
          <w:rStyle w:val="CharStyle15"/>
          <w:lang w:val="en-US" w:eastAsia="en-US"/>
        </w:rPr>
        <w:t xml:space="preserve">1.1, 2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2.1 </w:t>
      </w:r>
      <w:r>
        <w:rPr>
          <w:rStyle w:val="CharStyle15"/>
        </w:rPr>
        <w:t xml:space="preserve">(при наличии таких требований) ст.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44-ФЗ», ч.9 ст.31 №44-ФЗ «Отстранение участника закупки» несоответствие требованию пункта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44-ФЗ (наличие недоимки по налогам, превышающей </w:t>
      </w:r>
      <w:r>
        <w:rPr>
          <w:rStyle w:val="CharStyle15"/>
          <w:lang w:val="en-US" w:eastAsia="en-US"/>
        </w:rPr>
        <w:t xml:space="preserve">25% </w:t>
      </w:r>
      <w:r>
        <w:rPr>
          <w:rStyle w:val="CharStyle15"/>
        </w:rPr>
        <w:t>балансовой стоимости активов)».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Сведения о наличии отсрочки, рассрочки, предоставлении налогового кредита, или иных законный способов признания задолженности безнадежной ко взысканию в соответствии с налоговым законодательством Российской Федерации не предоставлены.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64" w:lineRule="auto"/>
        <w:ind w:left="0" w:right="0" w:firstLine="720"/>
        <w:jc w:val="both"/>
        <w:sectPr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10" w:right="541" w:bottom="608" w:left="1106" w:header="682" w:footer="180" w:gutter="0"/>
          <w:cols w:space="720"/>
          <w:noEndnote/>
          <w:rtlGutter w:val="0"/>
          <w:docGrid w:linePitch="360"/>
        </w:sectPr>
      </w:pPr>
      <w:r>
        <w:rPr>
          <w:rStyle w:val="CharStyle15"/>
        </w:rPr>
        <w:t xml:space="preserve">В соответствии с частью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 xml:space="preserve">Закона о контрактной системе заявка на участие в закупке состоит из трех частей. Первая часть должна содержать информацию и документы, предусмотренные подпунктами "а", "б" и "г" пункта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 xml:space="preserve">настоящего Федерального закона. Первая часть также может содержать информацию и документы, предусмотренные подпунктом "д" пункта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 xml:space="preserve">настоящего Федерального закона. Вторая часть должна содержать информацию и документы, предусмотренные подпунктами "м"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"р" пункта </w:t>
      </w:r>
      <w:r>
        <w:rPr>
          <w:rStyle w:val="CharStyle15"/>
          <w:lang w:val="en-US" w:eastAsia="en-US"/>
        </w:rPr>
        <w:t xml:space="preserve">1, </w:t>
      </w:r>
      <w:r>
        <w:rPr>
          <w:rStyle w:val="CharStyle15"/>
        </w:rPr>
        <w:t xml:space="preserve">подпунктом "в" пункта </w:t>
      </w:r>
      <w:r>
        <w:rPr>
          <w:rStyle w:val="CharStyle15"/>
          <w:lang w:val="en-US" w:eastAsia="en-US"/>
        </w:rPr>
        <w:t xml:space="preserve">2, </w:t>
      </w:r>
      <w:r>
        <w:rPr>
          <w:rStyle w:val="CharStyle15"/>
        </w:rPr>
        <w:t xml:space="preserve">пунктом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 xml:space="preserve">настоящего Федерального закона. Третья часть должна содержать информацию, предусмотренную пунктом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или пунктом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>2026-1992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>настоящего Федерального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силу части </w:t>
      </w:r>
      <w:r>
        <w:rPr>
          <w:rStyle w:val="CharStyle15"/>
          <w:lang w:val="en-US" w:eastAsia="en-US"/>
        </w:rPr>
        <w:t xml:space="preserve">11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 xml:space="preserve">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10 </w:t>
      </w:r>
      <w:r>
        <w:rPr>
          <w:rStyle w:val="CharStyle15"/>
        </w:rPr>
        <w:t>настоящей статьи,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члены комиссии по осуществлению закупок: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10 </w:t>
      </w:r>
      <w:r>
        <w:rPr>
          <w:rStyle w:val="CharStyle15"/>
        </w:rPr>
        <w:t>настоящей статьи,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32 </w:t>
      </w:r>
      <w:r>
        <w:rPr>
          <w:rStyle w:val="CharStyle15"/>
        </w:rPr>
        <w:t>настоящего Федерального закона (если такой критерий установлен извещением об осуществлении закупки);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Частью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>Закона о контрактной системе установлено, что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непредставления информации и документов, предусмотренных пунктами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>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несоответствия участника закупки требованиям, установленным в извещении об осуществлении закупки в соответствии с частью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настоящего Федерального закона, требованиям, установленным в извещении об осуществлении закупки в соответствии с частями </w:t>
      </w:r>
      <w:r>
        <w:rPr>
          <w:rStyle w:val="CharStyle15"/>
          <w:lang w:val="en-US" w:eastAsia="en-US"/>
        </w:rPr>
        <w:t xml:space="preserve">1.1, 2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2.1 </w:t>
      </w:r>
      <w:r>
        <w:rPr>
          <w:rStyle w:val="CharStyle15"/>
        </w:rPr>
        <w:t xml:space="preserve">(при наличии таких требований) статьи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>настоящего Федерального закона;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предусмотренных подпунктом "а"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(за исключением случая, предусмотренного пунктом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настоящей части), подпунктом "а" пункта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4, </w:t>
      </w:r>
      <w:r>
        <w:rPr>
          <w:rStyle w:val="CharStyle15"/>
        </w:rPr>
        <w:t xml:space="preserve">подпунктом "а"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(за исключением случая, предусмотренного пунктом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настоящей части), пунктом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>настоящего Федерального закона;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непредставления информации и документов, предусмотренных пунктом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 xml:space="preserve">настоящего Федерального закона, если такие информация и документы определены в соответствии с пунктом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 xml:space="preserve">настоящего Федерального закона (в случае установления в соответствии с подпунктом "а"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>настоящего Федерального закона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выявления отнесения участника закупки к организациям, предусмотренным пунктом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июня </w:t>
      </w:r>
      <w:r>
        <w:rPr>
          <w:rStyle w:val="CharStyle15"/>
          <w:lang w:val="en-US" w:eastAsia="en-US"/>
        </w:rPr>
        <w:t xml:space="preserve">2018 </w:t>
      </w:r>
      <w:r>
        <w:rPr>
          <w:rStyle w:val="CharStyle15"/>
        </w:rPr>
        <w:t xml:space="preserve">года </w:t>
      </w:r>
      <w:r>
        <w:rPr>
          <w:rStyle w:val="CharStyle15"/>
          <w:lang w:val="en-US" w:eastAsia="en-US"/>
        </w:rPr>
        <w:t xml:space="preserve">N </w:t>
      </w:r>
      <w:r>
        <w:rPr>
          <w:rStyle w:val="CharStyle15"/>
        </w:rPr>
        <w:t>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предусмотренных частью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45 </w:t>
      </w:r>
      <w:r>
        <w:rPr>
          <w:rStyle w:val="CharStyle15"/>
        </w:rPr>
        <w:t>настоящего Федерального закона;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выявления недостоверной информации, содержащейся в заявке на участие в закупке;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указания информации о предложении участника закупки, предусмотренном пунктом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или пунктом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>настоящего Федерального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Как установлено частью </w:t>
      </w:r>
      <w:r>
        <w:rPr>
          <w:rStyle w:val="CharStyle15"/>
          <w:lang w:val="en-US" w:eastAsia="en-US"/>
        </w:rPr>
        <w:t xml:space="preserve">13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>Закона о контрактной системе протокол рассмотрения и оценки вторых частей заявок на участие в закупке должен содержать: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дату рассмотрения и оценки вторых частей заявок на участие в закупке, идентификационные номера таких заявок;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извещению об осуществлении закупки;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32 </w:t>
      </w:r>
      <w:r>
        <w:rPr>
          <w:rStyle w:val="CharStyle15"/>
        </w:rPr>
        <w:t>настоящего Федерального закона (в случае установления такого критерия в извещении об осуществлении закупки);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информацию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информацию о признании определения поставщика (подрядчика, исполнителя) несостоявшимся в случаях, предусмотренных пунктами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52 </w:t>
      </w:r>
      <w:r>
        <w:rPr>
          <w:rStyle w:val="CharStyle15"/>
        </w:rPr>
        <w:t>настоящего Федерального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пунктом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Закона о контрактной системе при применении конкурентных способов, при осуществлении закупки у единственного поставщика (подрядчика, исполнителя) в случаях, предусмотренных пунктами </w:t>
      </w:r>
      <w:r>
        <w:rPr>
          <w:rStyle w:val="CharStyle15"/>
          <w:lang w:val="en-US" w:eastAsia="en-US"/>
        </w:rPr>
        <w:t xml:space="preserve">4, 5, 18, 30, 42, 49, 54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59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93 </w:t>
      </w:r>
      <w:r>
        <w:rPr>
          <w:rStyle w:val="CharStyle15"/>
        </w:rPr>
        <w:t>настоящего Федерального закона, заказчик устанавливает следующие единые требования к участникам закупки: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отсутствие у участника закупки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период. Участник закупки считается соответствующим установленному требованию в случае, если им в установленном порядке подано заявление об обжаловании указанных недоимки, задолженности и решение по такому заявлению на дату рассмотрения заявки на участие в определении поставщика (подрядчика, исполнителя) не принято.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Как установлено частью </w:t>
      </w:r>
      <w:r>
        <w:rPr>
          <w:rStyle w:val="CharStyle15"/>
          <w:lang w:val="en-US" w:eastAsia="en-US"/>
        </w:rPr>
        <w:t xml:space="preserve">9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Закона о контрактной системе комиссия по осуществлению закупок обязана отстранить участника закупки от участия в определении поставщика (подрядчика, исполнителя) в любой момент не позднее даты подведения итогов определения поставщика (подрядчика, исполнителя), если обнаружит, что участник закупки не соответствует требованиям, установленным в соответствии с частью </w:t>
      </w:r>
      <w:r>
        <w:rPr>
          <w:rStyle w:val="CharStyle15"/>
          <w:lang w:val="en-US" w:eastAsia="en-US"/>
        </w:rPr>
        <w:t xml:space="preserve">1, </w:t>
      </w:r>
      <w:r>
        <w:rPr>
          <w:rStyle w:val="CharStyle15"/>
        </w:rPr>
        <w:t xml:space="preserve">а также частями </w:t>
      </w:r>
      <w:r>
        <w:rPr>
          <w:rStyle w:val="CharStyle15"/>
          <w:lang w:val="en-US" w:eastAsia="en-US"/>
        </w:rPr>
        <w:t xml:space="preserve">1.1, 2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2.1 </w:t>
      </w:r>
      <w:r>
        <w:rPr>
          <w:rStyle w:val="CharStyle15"/>
        </w:rPr>
        <w:t>(в случае установления таких требований) настоящей статьи, и (или) предоставил недостоверную информацию о своем соответствии таким требованиям. Заказчик обязан отказаться от заключения контракта с участником закупки, если после подведения итогов определения поставщика (подрядчика, исполнителя) и до заключения в соответствии с настоящим Федеральным законом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контракта обнаружит, что участник закупки не соответствует требованиям, установленным в соответствии с частью </w:t>
      </w:r>
      <w:r>
        <w:rPr>
          <w:rStyle w:val="CharStyle15"/>
          <w:lang w:val="en-US" w:eastAsia="en-US"/>
        </w:rPr>
        <w:t xml:space="preserve">1, </w:t>
      </w:r>
      <w:r>
        <w:rPr>
          <w:rStyle w:val="CharStyle15"/>
        </w:rPr>
        <w:t xml:space="preserve">а также частями </w:t>
      </w:r>
      <w:r>
        <w:rPr>
          <w:rStyle w:val="CharStyle15"/>
          <w:lang w:val="en-US" w:eastAsia="en-US"/>
        </w:rPr>
        <w:t xml:space="preserve">1.1, 2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2.1 </w:t>
      </w:r>
      <w:r>
        <w:rPr>
          <w:rStyle w:val="CharStyle15"/>
        </w:rPr>
        <w:t>(в случае установления таких требований) настоящей статьи, и (или) предоставил недостоверную информацию о своем соответствии таким требованиям либо недостоверную информацию и (или) документы, содержащиеся в заявке на участие в закупке.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требованиями части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13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06.12.2011 N 402- </w:t>
      </w:r>
      <w:r>
        <w:rPr>
          <w:rStyle w:val="CharStyle15"/>
        </w:rPr>
        <w:t xml:space="preserve">Ф3 "О бухгалтерском учете"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Закон </w:t>
      </w:r>
      <w:r>
        <w:rPr>
          <w:rStyle w:val="CharStyle15"/>
          <w:lang w:val="en-US" w:eastAsia="en-US"/>
        </w:rPr>
        <w:t xml:space="preserve">N </w:t>
      </w:r>
      <w:r>
        <w:rPr>
          <w:rStyle w:val="CharStyle15"/>
        </w:rPr>
        <w:t xml:space="preserve">402-Ф3 о бухгалтерском учёте) и пунктами </w:t>
      </w:r>
      <w:r>
        <w:rPr>
          <w:rStyle w:val="CharStyle15"/>
          <w:lang w:val="en-US" w:eastAsia="en-US"/>
        </w:rPr>
        <w:t xml:space="preserve">19.1, 19.2 </w:t>
      </w:r>
      <w:r>
        <w:rPr>
          <w:rStyle w:val="CharStyle15"/>
        </w:rPr>
        <w:t xml:space="preserve">Устава ООО «ЭКОДОРСЕРВИС» (утвержденного решением </w:t>
      </w:r>
      <w:r>
        <w:rPr>
          <w:rStyle w:val="CharStyle15"/>
          <w:lang w:val="en-US" w:eastAsia="en-US"/>
        </w:rPr>
        <w:t xml:space="preserve">N 1 </w:t>
      </w:r>
      <w:r>
        <w:rPr>
          <w:rStyle w:val="CharStyle15"/>
        </w:rPr>
        <w:t xml:space="preserve">от </w:t>
      </w:r>
      <w:r>
        <w:rPr>
          <w:rStyle w:val="CharStyle15"/>
          <w:lang w:val="en-US" w:eastAsia="en-US"/>
        </w:rPr>
        <w:t xml:space="preserve">25.01.2021) </w:t>
      </w:r>
      <w:r>
        <w:rPr>
          <w:rStyle w:val="CharStyle15"/>
        </w:rPr>
        <w:t xml:space="preserve">годовая бухгалтерская (финансовая) отчетность участника закупки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ООО «ЭКОДОРСЕРВИС» составляется за отчетный финансовый год, составлением промежуточной бухгалтерской (финансовой) отчётности учредительными документами не предусмотрено.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требованиям части </w:t>
      </w:r>
      <w:r>
        <w:rPr>
          <w:rStyle w:val="CharStyle15"/>
          <w:lang w:val="en-US" w:eastAsia="en-US"/>
        </w:rPr>
        <w:t xml:space="preserve">2, 3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18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N </w:t>
      </w:r>
      <w:r>
        <w:rPr>
          <w:rStyle w:val="CharStyle15"/>
        </w:rPr>
        <w:t xml:space="preserve">402-Ф3 о бухгалтерском учёте федеральным органом исполнительной власти, уполномоченным по контролю и надзору в области налогов и сборов формируется и ведётся государственный информационный ресурс бухгалтерской (финансовой) отчётности. В целях формирования государственного информационного ресурса бухгалтерской (финансовой) отчётности экономический субъект обязан представлять один экземпляр составленной бухгалтерской (финансовой) отчетности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обязательный экземпляр отчетности) в налоговый орган по месту нахождения экономического субъекта, если иное не установлено настоящей статьей или другими федеральными законами, не позднее трех месяцев после окончания отчетного периода.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При этом в силу части </w:t>
      </w:r>
      <w:r>
        <w:rPr>
          <w:rStyle w:val="CharStyle15"/>
          <w:lang w:val="en-US" w:eastAsia="en-US"/>
        </w:rPr>
        <w:t xml:space="preserve">7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18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N </w:t>
      </w:r>
      <w:r>
        <w:rPr>
          <w:rStyle w:val="CharStyle15"/>
        </w:rPr>
        <w:t xml:space="preserve">402-ФЗ о бухгалтерском учёте в случае исправления экономическим субъектом ошибки в бухгалтерской (финансовой) отчетности, обязательный экземпляр которой представлен в соответствии с частью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настоящей статьи, экземпляр бухгалтерской (финансовой) отчетности, в котором ошибка исправлена, представляется в налоговый орган по месту нахождения экономического субъекта в виде электронного документа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годовой бухгалтерской (финансовой) отчетности не позднее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>июля года, следующего за отчетным годом.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Таким образом, действующим законодательством РФ установлен срок размещения годовой бухгалтерской финансовой отчётности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не позднее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марта и ее корректировки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не позднее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>июля текущего года.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данным государственного информационного ресурса бухгалтерской (финансовой) отчетности по адресу </w:t>
      </w:r>
      <w:r>
        <w:rPr>
          <w:rStyle w:val="CharStyle15"/>
          <w:lang w:val="en-US" w:eastAsia="en-US"/>
        </w:rPr>
        <w:t xml:space="preserve">: </w:t>
      </w:r>
      <w:r>
        <w:fldChar w:fldCharType="begin"/>
      </w:r>
      <w:r>
        <w:rPr/>
        <w:instrText> HYPERLINK "https://bo.nalog.gov.ru/organizations-card/1" </w:instrText>
      </w:r>
      <w:r>
        <w:fldChar w:fldCharType="separate"/>
      </w:r>
      <w:r>
        <w:rPr>
          <w:rStyle w:val="CharStyle15"/>
          <w:color w:val="000080"/>
          <w:u w:val="single"/>
          <w:lang w:val="en-US" w:eastAsia="en-US"/>
        </w:rPr>
        <w:t>https://bo .nalog.gov.ru/organizations-card/1</w:t>
      </w:r>
      <w:r>
        <w:fldChar w:fldCharType="end"/>
      </w:r>
      <w:r>
        <w:rPr>
          <w:rStyle w:val="CharStyle15"/>
          <w:lang w:val="en-US" w:eastAsia="en-US"/>
        </w:rPr>
        <w:t xml:space="preserve">1510118 </w:t>
      </w:r>
      <w:r>
        <w:rPr>
          <w:rStyle w:val="CharStyle15"/>
        </w:rPr>
        <w:t xml:space="preserve">по бухгалтерскому балансу ООО «ЭКОДОРСЕРВИС» за последний отчетный период (по состоянию на </w:t>
      </w:r>
      <w:r>
        <w:rPr>
          <w:rStyle w:val="CharStyle15"/>
          <w:lang w:val="en-US" w:eastAsia="en-US"/>
        </w:rPr>
        <w:t xml:space="preserve">31.12.2025 </w:t>
      </w:r>
      <w:r>
        <w:rPr>
          <w:rStyle w:val="CharStyle15"/>
        </w:rPr>
        <w:t xml:space="preserve">года) балансовая стоимость активов общества составляет </w:t>
      </w:r>
      <w:r>
        <w:rPr>
          <w:rStyle w:val="CharStyle15"/>
          <w:lang w:val="en-US" w:eastAsia="en-US"/>
        </w:rPr>
        <w:t xml:space="preserve">12 240 000,00 </w:t>
      </w:r>
      <w:r>
        <w:rPr>
          <w:rStyle w:val="CharStyle15"/>
        </w:rPr>
        <w:t xml:space="preserve">рублей. При произведении подсчета </w:t>
      </w:r>
      <w:r>
        <w:rPr>
          <w:rStyle w:val="CharStyle15"/>
          <w:lang w:val="en-US" w:eastAsia="en-US"/>
        </w:rPr>
        <w:t xml:space="preserve">25 % </w:t>
      </w:r>
      <w:r>
        <w:rPr>
          <w:rStyle w:val="CharStyle15"/>
        </w:rPr>
        <w:t xml:space="preserve">от балансовой стоимости активов за последний отчетный период составляет: </w:t>
      </w:r>
      <w:r>
        <w:rPr>
          <w:rStyle w:val="CharStyle15"/>
          <w:lang w:val="en-US" w:eastAsia="en-US"/>
        </w:rPr>
        <w:t xml:space="preserve">0,25 * 12 242 000,00 = 3 060 500,00 </w:t>
      </w:r>
      <w:r>
        <w:rPr>
          <w:rStyle w:val="CharStyle15"/>
        </w:rPr>
        <w:t xml:space="preserve">рублей. При этом, размер налоговой задолженности ООО «ЭКОДОРСЕРВИС» в момент проведения оспариваемого конкурса составлял </w:t>
      </w:r>
      <w:r>
        <w:rPr>
          <w:rStyle w:val="CharStyle15"/>
          <w:lang w:val="en-US" w:eastAsia="en-US"/>
        </w:rPr>
        <w:t xml:space="preserve">1 767 013,00 </w:t>
      </w:r>
      <w:r>
        <w:rPr>
          <w:rStyle w:val="CharStyle15"/>
        </w:rPr>
        <w:t xml:space="preserve">рублей, что составляет </w:t>
      </w:r>
      <w:r>
        <w:rPr>
          <w:rStyle w:val="CharStyle15"/>
          <w:lang w:val="en-US" w:eastAsia="en-US"/>
        </w:rPr>
        <w:t xml:space="preserve">14,43% </w:t>
      </w:r>
      <w:r>
        <w:rPr>
          <w:rStyle w:val="CharStyle15"/>
        </w:rPr>
        <w:t xml:space="preserve">от балансовой стоимости активов по данным бухгалтерской отчетности за последний отчетный период и не превышает установленный пунктом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Закона о контрактной системе порог в </w:t>
      </w:r>
      <w:r>
        <w:rPr>
          <w:rStyle w:val="CharStyle15"/>
          <w:lang w:val="en-US" w:eastAsia="en-US"/>
        </w:rPr>
        <w:t>25%.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Таким образом, Заявитель соответствует требованиям Закона о контрактной системе, соответственно, действия комиссии заказчика по отклонению заявки Заявителя нарушают пункт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>Закона о контрактной системе, доводы жалобы являются обоснованными.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 заседании Комиссии представитель лиц, участвующий в рассмотрении жалобы, на вопрос председателя Комиссии о достаточности доказательств, представленных в материалы дела, пояснил, что все доказательства, которые они намеревались представить, имеются в распоряжении Комиссии, иных доказательств, ходатайств, в том числе о представлении или истребовании дополнительных доказательств не имеется.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связи с изложенным, руководствуясь частями </w:t>
      </w:r>
      <w:r>
        <w:rPr>
          <w:rStyle w:val="CharStyle15"/>
          <w:lang w:val="en-US" w:eastAsia="en-US"/>
        </w:rPr>
        <w:t xml:space="preserve">1, 4, 7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105, </w:t>
      </w:r>
      <w:r>
        <w:rPr>
          <w:rStyle w:val="CharStyle15"/>
        </w:rPr>
        <w:t xml:space="preserve">частью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>Закона о контрактной системе, Комиссия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5"/>
          <w:b/>
          <w:bCs/>
        </w:rPr>
        <w:t>РЕШИЛА: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Признать жалобу ООО «ЭКОДОРСЕРВИС» на действия комиссии Заказчика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Администрации муниципального образования «Озерский муниципальный округ Калининградской области» при проведении открытого конкурса в электронной форме, предметом которого является проведение работ по уничтожению борщевика Сосновского на территории Озерского муниципального округа Калининградской области (извещение </w:t>
      </w:r>
      <w:r>
        <w:rPr>
          <w:rStyle w:val="CharStyle15"/>
          <w:lang w:val="en-US" w:eastAsia="en-US"/>
        </w:rPr>
        <w:t xml:space="preserve">№ 0335300004326000025), </w:t>
      </w:r>
      <w:r>
        <w:rPr>
          <w:rStyle w:val="CharStyle15"/>
        </w:rPr>
        <w:t>обоснованной.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 w:line="230" w:lineRule="auto"/>
        <w:ind w:left="0" w:right="0" w:firstLine="720"/>
        <w:jc w:val="both"/>
      </w:pPr>
      <w:r>
        <w:rPr>
          <w:rStyle w:val="CharStyle15"/>
        </w:rPr>
        <w:t xml:space="preserve">Признать Заказчика нарушившим пункта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rStyle w:val="CharStyle15"/>
        </w:rPr>
        <w:t xml:space="preserve">Выдать Заказчику, комиссии по осуществлению закупок, уполномоченному учреждению и оператору электронной площадки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РОСЭЛТОРГ (АО «ЕЭТП») (в части имеющихся полномочий) предписание об устранении выявленного нарушения Закона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520" w:line="230" w:lineRule="auto"/>
        <w:ind w:left="0" w:right="0" w:firstLine="720"/>
        <w:jc w:val="both"/>
      </w:pPr>
      <w:r>
        <w:rPr>
          <w:rStyle w:val="CharStyle15"/>
        </w:rPr>
        <w:t>Передать материалы дела должностному лицу Калининградского УФАС России для решения вопроса о привлечении лиц, допустивших нарушения Закона о контрактной системе, к административной ответственности.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Решение может быть обжаловано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065" w:right="539" w:bottom="1157" w:left="1104" w:header="637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69900" distB="192405" distL="0" distR="0" simplePos="0" relativeHeight="125829379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469900</wp:posOffset>
                </wp:positionV>
                <wp:extent cx="1822450" cy="25273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rStyle w:val="CharStyle20"/>
                              </w:rPr>
                              <w:t>Председатель комиссии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8.050000000000004pt;margin-top:37.pt;width:143.5pt;height:19.900000000000002pt;z-index:-125829374;mso-wrap-distance-left:0;mso-wrap-distance-top:37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rStyle w:val="CharStyle20"/>
                        </w:rPr>
                        <w:t>Председатель комиссии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70230" distB="635" distL="0" distR="1816735" simplePos="0" relativeHeight="125829381" behindDoc="0" locked="0" layoutInCell="1" allowOverlap="1">
            <wp:simplePos x="0" y="0"/>
            <wp:positionH relativeFrom="page">
              <wp:posOffset>2684780</wp:posOffset>
            </wp:positionH>
            <wp:positionV relativeFrom="paragraph">
              <wp:posOffset>570230</wp:posOffset>
            </wp:positionV>
            <wp:extent cx="298450" cy="347345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631190</wp:posOffset>
                </wp:positionV>
                <wp:extent cx="1722120" cy="25908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42.09999999999999pt;margin-top:49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69900" distB="192405" distL="0" distR="0" simplePos="0" relativeHeight="125829382" behindDoc="0" locked="0" layoutInCell="1" allowOverlap="1">
                <wp:simplePos x="0" y="0"/>
                <wp:positionH relativeFrom="page">
                  <wp:posOffset>6141085</wp:posOffset>
                </wp:positionH>
                <wp:positionV relativeFrom="paragraph">
                  <wp:posOffset>469900</wp:posOffset>
                </wp:positionV>
                <wp:extent cx="1048385" cy="25273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838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4" w:name="bookmark4"/>
                            <w:r>
                              <w:rPr>
                                <w:rStyle w:val="CharStyle20"/>
                              </w:rPr>
                              <w:t>Н.С. Иванова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83.55000000000001pt;margin-top:37.pt;width:82.549999999999997pt;height:19.900000000000002pt;z-index:-125829371;mso-wrap-distance-left:0;mso-wrap-distance-top:37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4" w:name="bookmark4"/>
                      <w:r>
                        <w:rPr>
                          <w:rStyle w:val="CharStyle20"/>
                        </w:rPr>
                        <w:t>Н.С. Иванова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Иванова Наталия Сергеевна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00F28C6F6A8B4A952299ACA9CA1836D0C</w:t>
      </w:r>
      <w:r>
        <w:rPr>
          <w:rStyle w:val="CharStyle28"/>
          <w:lang w:val="en-US" w:eastAsia="en-US"/>
        </w:rPr>
        <w:t>1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right="0" w:firstLine="0"/>
        <w:jc w:val="left"/>
      </w:pPr>
      <w:r>
        <w:rPr>
          <w:rStyle w:val="CharStyle28"/>
        </w:rPr>
        <w:t xml:space="preserve">Действителен с </w:t>
      </w:r>
      <w:r>
        <w:rPr>
          <w:rStyle w:val="CharStyle28"/>
          <w:color w:val="5F5F5F"/>
        </w:rPr>
        <w:t>29.10.2025 по 22.01</w:t>
      </w:r>
      <w:r>
        <w:rPr>
          <w:rStyle w:val="CharStyle28"/>
        </w:rPr>
        <w:t>.2027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6" w:name="bookmark6"/>
      <w:r>
        <w:rPr>
          <w:rStyle w:val="CharStyle20"/>
        </w:rPr>
        <w:t>Члены комиссии</w:t>
      </w:r>
      <w:bookmarkEnd w:id="6"/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370" w:line="240" w:lineRule="auto"/>
        <w:ind w:left="1760" w:right="0" w:firstLine="0"/>
        <w:jc w:val="left"/>
      </w:pPr>
      <w:r>
        <w:drawing>
          <wp:anchor distT="0" distB="0" distL="114300" distR="1931035" simplePos="0" relativeHeight="125829384" behindDoc="0" locked="0" layoutInCell="1" allowOverlap="1">
            <wp:simplePos x="0" y="0"/>
            <wp:positionH relativeFrom="page">
              <wp:posOffset>2685415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3075305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42.15000000000001pt;margin-top:11.8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8" w:name="bookmark8"/>
      <w:r>
        <w:rPr>
          <w:rStyle w:val="CharStyle20"/>
        </w:rPr>
        <w:t>В.А. Кувыкина</w:t>
      </w:r>
      <w:bookmarkEnd w:id="8"/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Кувыкина Виктория Анатольевна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5FBBB0E872F35F1B9897F6A926266430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right="0" w:firstLine="0"/>
        <w:jc w:val="left"/>
      </w:pPr>
      <w:r>
        <w:rPr>
          <w:rStyle w:val="CharStyle28"/>
        </w:rPr>
        <w:t xml:space="preserve">Действителен с 26.12.2025 </w:t>
      </w:r>
      <w:r>
        <w:rPr>
          <w:rStyle w:val="CharStyle28"/>
          <w:color w:val="5F5F5F"/>
        </w:rPr>
        <w:t xml:space="preserve">по </w:t>
      </w:r>
      <w:r>
        <w:rPr>
          <w:rStyle w:val="CharStyle28"/>
        </w:rPr>
        <w:t>21.03.2027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370" w:line="240" w:lineRule="auto"/>
        <w:ind w:left="1760" w:right="0" w:firstLine="0"/>
        <w:jc w:val="left"/>
      </w:pPr>
      <w:r>
        <w:drawing>
          <wp:anchor distT="0" distB="0" distL="114300" distR="1931035" simplePos="0" relativeHeight="125829385" behindDoc="0" locked="0" layoutInCell="1" allowOverlap="1">
            <wp:simplePos x="0" y="0"/>
            <wp:positionH relativeFrom="page">
              <wp:posOffset>2685415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3075305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42.15000000000001pt;margin-top:11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0" w:name="bookmark10"/>
      <w:r>
        <w:rPr>
          <w:rStyle w:val="CharStyle20"/>
        </w:rPr>
        <w:t>К.В. Лимонова</w:t>
      </w:r>
      <w:bookmarkEnd w:id="10"/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 xml:space="preserve">Лимонова Кристина Владимировна </w:t>
      </w: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</w:rPr>
        <w:t>1</w:t>
      </w:r>
      <w:r>
        <w:rPr>
          <w:rStyle w:val="CharStyle28"/>
          <w:lang w:val="en-US" w:eastAsia="en-US"/>
        </w:rPr>
        <w:t>97D93FB831EA6F9AB21F7E83DA01</w:t>
      </w:r>
      <w:r>
        <w:rPr>
          <w:rStyle w:val="CharStyle28"/>
        </w:rPr>
        <w:t>21Е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00" w:line="266" w:lineRule="auto"/>
        <w:ind w:right="0" w:firstLine="0"/>
        <w:jc w:val="left"/>
      </w:pPr>
      <w:r>
        <w:rPr>
          <w:rStyle w:val="CharStyle28"/>
        </w:rPr>
        <w:t xml:space="preserve">Действителен с 24.02.2026 </w:t>
      </w:r>
      <w:r>
        <w:rPr>
          <w:rStyle w:val="CharStyle28"/>
          <w:color w:val="5F5F5F"/>
        </w:rPr>
        <w:t xml:space="preserve">по </w:t>
      </w:r>
      <w:r>
        <w:rPr>
          <w:rStyle w:val="CharStyle28"/>
        </w:rPr>
        <w:t>20.05.2027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36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9854565</wp:posOffset>
              </wp:positionV>
              <wp:extent cx="640080" cy="10668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2026-1992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450000000000003pt;margin-top:775.95000000000005pt;width:50.399999999999999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2026-1992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731520</wp:posOffset>
              </wp:positionH>
              <wp:positionV relativeFrom="page">
                <wp:posOffset>10022840</wp:posOffset>
              </wp:positionV>
              <wp:extent cx="640080" cy="10668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2026-1992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600000000000001pt;margin-top:789.20000000000005pt;width:50.399999999999999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2026-1992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9">
    <w:name w:val="Body text (6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1">
    <w:name w:val="Heading #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Body text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Heading #2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Picture caption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6">
    <w:name w:val="Body text (5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8">
    <w:name w:val="Body text (3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70" w:line="27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8">
    <w:name w:val="Body text (6)"/>
    <w:basedOn w:val="Normal"/>
    <w:link w:val="CharStyle9"/>
    <w:pPr>
      <w:widowControl w:val="0"/>
      <w:shd w:val="clear" w:color="auto" w:fill="auto"/>
      <w:spacing w:after="310" w:line="259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Body text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Heading #2"/>
    <w:basedOn w:val="Normal"/>
    <w:link w:val="CharStyle20"/>
    <w:pPr>
      <w:widowControl w:val="0"/>
      <w:shd w:val="clear" w:color="auto" w:fill="auto"/>
      <w:spacing w:after="240"/>
      <w:ind w:left="88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1">
    <w:name w:val="Picture caption"/>
    <w:basedOn w:val="Normal"/>
    <w:link w:val="CharStyle2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100"/>
      <w:ind w:left="38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7">
    <w:name w:val="Body text (3)"/>
    <w:basedOn w:val="Normal"/>
    <w:link w:val="CharStyle28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png"/><Relationship Id="rId9" Type="http://schemas.openxmlformats.org/officeDocument/2006/relationships/image" Target="media/image2.png" TargetMode="External"/><Relationship Id="rId10" Type="http://schemas.openxmlformats.org/officeDocument/2006/relationships/footer" Target="footer2.xml"/><Relationship Id="rId11" Type="http://schemas.openxmlformats.org/officeDocument/2006/relationships/footer" Target="footer3.xm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Relationship Id="rId16" Type="http://schemas.openxmlformats.org/officeDocument/2006/relationships/image" Target="media/image5.jpeg"/><Relationship Id="rId17" Type="http://schemas.openxmlformats.org/officeDocument/2006/relationships/image" Target="media/image5.jpeg" TargetMode="External"/></Relationships>
</file>