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ул. Лермонтова, 14, г. Чита, 672076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почтовый адрес: а/я 803, г. Чита, 672000</w:t>
        <w:br/>
        <w:t>тел. (3022) 21-70-30, факс (3022) 32-12-31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6"/>
          <w:lang w:val="en-US" w:eastAsia="en-US"/>
        </w:rPr>
        <w:t>to75@fas.gov.ru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9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5.05.2026</w:t>
      </w:r>
      <w:r>
        <w:rPr>
          <w:rStyle w:val="CharStyle9"/>
          <w:u w:val="none"/>
        </w:rPr>
        <w:tab/>
      </w:r>
      <w:r>
        <w:fldChar w:fldCharType="end"/>
      </w:r>
      <w:r>
        <w:rPr>
          <w:rStyle w:val="CharStyle9"/>
          <w:u w:val="none"/>
        </w:rPr>
        <w:t xml:space="preserve">№ </w:t>
      </w:r>
      <w:r>
        <w:rPr>
          <w:rStyle w:val="CharStyle9"/>
        </w:rPr>
        <w:t>МГ/2370/2</w:t>
      </w:r>
      <w:r>
        <w:rPr>
          <w:rStyle w:val="CharStyle9"/>
          <w:u w:val="none"/>
        </w:rPr>
        <w:t>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ГКУ "ЗАБГОСЗАКУП"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Российская Федерация, 672010, Забайкальский</w:t>
        <w:br/>
        <w:t>край, Чита г, УЛИЦА АМУРСКАЯ, ДОМ 13</w:t>
        <w:br/>
      </w:r>
      <w:r>
        <w:fldChar w:fldCharType="begin"/>
      </w:r>
      <w:r>
        <w:rPr/>
        <w:instrText> HYPERLINK "mailto:zabgoszakup@goszak.e-zab.ru" </w:instrText>
      </w:r>
      <w:r>
        <w:fldChar w:fldCharType="separate"/>
      </w:r>
      <w:r>
        <w:rPr>
          <w:rStyle w:val="CharStyle14"/>
          <w:lang w:val="en-US" w:eastAsia="en-US"/>
        </w:rPr>
        <w:t>zabgoszakup@goszak.e-zab.ru</w:t>
      </w:r>
      <w:r>
        <w:fldChar w:fldCharType="end"/>
      </w:r>
      <w:r>
        <w:rPr>
          <w:rStyle w:val="CharStyle14"/>
          <w:lang w:val="en-US" w:eastAsia="en-US"/>
        </w:rPr>
        <w:t>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fldChar w:fldCharType="begin"/>
      </w:r>
      <w:r>
        <w:rPr/>
        <w:instrText> HYPERLINK "mailto:notifications.etp@yandex.ru" </w:instrText>
      </w:r>
      <w:r>
        <w:fldChar w:fldCharType="separate"/>
      </w:r>
      <w:r>
        <w:rPr>
          <w:rStyle w:val="CharStyle14"/>
          <w:lang w:val="en-US" w:eastAsia="en-US"/>
        </w:rPr>
        <w:t>notifications.etp@yandex.ru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ГОСУДАРСТВЕННОЕ БЮДЖЕТНОЕ</w:t>
        <w:br/>
        <w:t>УЧРЕЖДЕНИЕ "ЧИТИНСКАЯ ГОРОДСКАЯ</w:t>
        <w:br/>
        <w:t>СТАНЦИЯ ПО БОРЬБЕ С БОЛЕЗНЯМИ</w:t>
        <w:br/>
        <w:t>ЖИВОТНЫХ"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Российская Федерация, 672000, Забайкальский</w:t>
        <w:br/>
        <w:t>край, Чита г, Бабушкина ул, Д.42</w:t>
        <w:br/>
      </w:r>
      <w:r>
        <w:fldChar w:fldCharType="begin"/>
      </w:r>
      <w:r>
        <w:rPr/>
        <w:instrText> HYPERLINK "mailto:gorodchita.sbbj@yandex.ru" </w:instrText>
      </w:r>
      <w:r>
        <w:fldChar w:fldCharType="separate"/>
      </w:r>
      <w:r>
        <w:rPr>
          <w:rStyle w:val="CharStyle14"/>
          <w:lang w:val="en-US" w:eastAsia="en-US"/>
        </w:rPr>
        <w:t>gorodchita.sbbj@yandex.ru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ОБЩЕСТВО С ОГРАНИЧЕННОЙ</w:t>
        <w:br/>
        <w:t>ОТВЕТСТВЕННОСТЬЮ "ТРЕЙД ЛАЙН"</w:t>
        <w:br/>
        <w:t>129110, Г.МОСКВА, ПЕР. НАПРУДНЫЙ, 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18" w:bottom="1217" w:left="1135" w:header="0" w:footer="3" w:gutter="0"/>
          <w:pgNumType w:start="1"/>
          <w:cols w:num="2" w:space="720" w:equalWidth="0">
            <w:col w:w="4238" w:space="1056"/>
            <w:col w:w="4853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>10, СТР. 2, ЭТ 2 КОМ 4, РМ4Н</w:t>
        <w:br/>
      </w:r>
      <w:r>
        <w:fldChar w:fldCharType="begin"/>
      </w:r>
      <w:r>
        <w:rPr/>
        <w:instrText> HYPERLINK "mailto:tl7702438140@mail.ru" </w:instrText>
      </w:r>
      <w:r>
        <w:fldChar w:fldCharType="separate"/>
      </w:r>
      <w:r>
        <w:rPr>
          <w:rStyle w:val="CharStyle14"/>
          <w:lang w:val="en-US" w:eastAsia="en-US"/>
        </w:rPr>
        <w:t>tl7702438140@mail.ru</w:t>
      </w:r>
      <w:r>
        <w:fldChar w:fldCharType="end"/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4"/>
          <w:b/>
          <w:bCs/>
        </w:rPr>
        <w:t>по рассмотрению жалобы № 075/06/105-311/2026</w:t>
        <w:br/>
        <w:t>о нарушении законодательства при осуществлении закупки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2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836295</wp:posOffset>
                </wp:positionH>
                <wp:positionV relativeFrom="paragraph">
                  <wp:posOffset>12700</wp:posOffset>
                </wp:positionV>
                <wp:extent cx="1097280" cy="219710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65.849999999999994pt;margin-top:1.pt;width:86.400000000000006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</w:rPr>
        <w:t>г. Чита, ул. Лермонтова, 14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России; членов комиссии: Китаевой И.С. главного государственного инспектора отдела контроля закупок Забайкальского УФАС России, Ереминой В.В. главного специалиста-эксперта отдела контроля закупок Забайкальского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рассмотрев поступившую 04.05.2026 жалобу ООО «ТРЕЙД ЛАЙН»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государственным заказчиком — ГОСУДАРСТВЕННЫМ БЮДЖЕТНЫМ УЧРЕЖДЕНИЕМ "ЧИТИНСКАЯ ГОРОДСКАЯ СТАНЦИЯ ПО БОРЬБЕ С БОЛЕЗНЯМИ ЖИВОТНЫХ"</w:t>
      </w:r>
      <w:r>
        <w:rPr>
          <w:rStyle w:val="CharStyle14"/>
          <w:b/>
          <w:bCs/>
        </w:rPr>
        <w:t xml:space="preserve">, </w:t>
      </w:r>
      <w:r>
        <w:rPr>
          <w:rStyle w:val="CharStyle14"/>
        </w:rPr>
        <w:t>уполномоченным учреждением — ГКУ "ЗАБАЙКАЛЬСКИЙ ЦЕНТР ГОСУДАРСТВЕННЫХ ЗАКУПОК" при проведении аукциона в электронной форме на поставку шприцов одноразовых для ветеринарного применения (00004569-ЭА)» (реестровый номер закупки 0891200000626004126),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при участии по ВКС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уполномоченного учреждения – Дьякова А.П. (доверенность от 29.04.2026 № 5),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заявителя- Уруджаева А.Р. (генеральный директор), Василенко А.В. (доверенность от 01.02.2026 б/н),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4"/>
        </w:rPr>
        <w:t>в отсутствии представителя заказчика (о дате, времени и месте рассмотрения жалобы уведомлен надлежащим образом),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4580" w:right="0" w:firstLine="0"/>
        <w:jc w:val="both"/>
      </w:pPr>
      <w:r>
        <w:rPr>
          <w:rStyle w:val="CharStyle14"/>
          <w:b/>
          <w:bCs/>
        </w:rPr>
        <w:t>УСТАНОВИЛА: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7"/>
        </w:rPr>
        <w:t>1IIIIIIIIIIIIIIIIIIIIIII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04.05.2026 </w:t>
      </w:r>
      <w:r>
        <w:rPr>
          <w:rStyle w:val="CharStyle14"/>
        </w:rPr>
        <w:t xml:space="preserve">в адрес Забайкальского УФАС России поступила жалоба ООО «ТРЕЙД ЛАЙН» о нарушении Закона о контрактной системе при проведении закупки </w:t>
      </w:r>
      <w:r>
        <w:rPr>
          <w:rStyle w:val="CharStyle14"/>
          <w:lang w:val="en-US" w:eastAsia="en-US"/>
        </w:rPr>
        <w:t>№ 0891200000626004126.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Заявитель не согласен с отклонением заявки общества, ввиду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Протоколом подведения итогов электронного аукциона от </w:t>
      </w: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заявка ООО «ТРЕЙД ЛАЙН» отклонена по следующим основаниям: </w:t>
      </w:r>
      <w:r>
        <w:rPr>
          <w:rStyle w:val="CharStyle14"/>
          <w:lang w:val="en-US" w:eastAsia="en-US"/>
        </w:rPr>
        <w:t xml:space="preserve">«- </w:t>
      </w:r>
      <w:r>
        <w:rPr>
          <w:rStyle w:val="CharStyle14"/>
        </w:rPr>
        <w:t xml:space="preserve">пп.а п.1 ч.5 ст.49, п.1 ч.12 ст.48: несоответствие информации и документов, предусмотренных извещением (за исключением предусмотренных п.п.2,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ч.6 ст.43),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Как указано в приложении к аукционной документации «Описание объекта закупки» объектом закупки является шприц общего назначения игла в комплекте: </w:t>
      </w:r>
      <w:r>
        <w:rPr>
          <w:rStyle w:val="CharStyle14"/>
          <w:lang w:val="en-US" w:eastAsia="en-US"/>
        </w:rPr>
        <w:t xml:space="preserve">≥1, </w:t>
      </w:r>
      <w:r>
        <w:rPr>
          <w:rStyle w:val="CharStyle14"/>
        </w:rPr>
        <w:t xml:space="preserve">внешний диаметр иглы: </w:t>
      </w:r>
      <w:r>
        <w:rPr>
          <w:rStyle w:val="CharStyle14"/>
          <w:lang w:val="en-US" w:eastAsia="en-US"/>
        </w:rPr>
        <w:t xml:space="preserve">≥ 1.6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≤ 2, </w:t>
      </w:r>
      <w:r>
        <w:rPr>
          <w:rStyle w:val="CharStyle14"/>
        </w:rPr>
        <w:t xml:space="preserve">длина иглы: </w:t>
      </w:r>
      <w:r>
        <w:rPr>
          <w:rStyle w:val="CharStyle14"/>
          <w:lang w:val="en-US" w:eastAsia="en-US"/>
        </w:rPr>
        <w:t xml:space="preserve">≥ 35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>≤ 50 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Обществом предложены шприцы общего назначения производства компании ООО «МЕДПРОМ БОБЕНИ ПРОДАКШЕН»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ФСР </w:t>
      </w:r>
      <w:r>
        <w:rPr>
          <w:rStyle w:val="CharStyle14"/>
          <w:lang w:val="en-US" w:eastAsia="en-US"/>
        </w:rPr>
        <w:t xml:space="preserve">2010/07710) </w:t>
      </w:r>
      <w:r>
        <w:rPr>
          <w:rStyle w:val="CharStyle14"/>
          <w:b/>
          <w:bCs/>
          <w:u w:val="single"/>
        </w:rPr>
        <w:t xml:space="preserve">в комплекте с </w:t>
      </w:r>
      <w:r>
        <w:rPr>
          <w:rStyle w:val="CharStyle14"/>
          <w:b/>
          <w:bCs/>
          <w:u w:val="single"/>
          <w:lang w:val="en-US" w:eastAsia="en-US"/>
        </w:rPr>
        <w:t xml:space="preserve">2 </w:t>
      </w:r>
      <w:r>
        <w:rPr>
          <w:rStyle w:val="CharStyle14"/>
          <w:b/>
          <w:bCs/>
          <w:u w:val="single"/>
        </w:rPr>
        <w:t>иглами,</w:t>
      </w:r>
      <w:r>
        <w:rPr>
          <w:rStyle w:val="CharStyle14"/>
          <w:b/>
          <w:bCs/>
        </w:rPr>
        <w:t xml:space="preserve"> </w:t>
      </w:r>
      <w:r>
        <w:rPr>
          <w:rStyle w:val="CharStyle14"/>
        </w:rPr>
        <w:t xml:space="preserve">а именно: </w:t>
      </w:r>
      <w:r>
        <w:rPr>
          <w:rStyle w:val="CharStyle14"/>
          <w:lang w:val="en-US" w:eastAsia="en-US"/>
        </w:rPr>
        <w:t xml:space="preserve">1. </w:t>
      </w:r>
      <w:r>
        <w:rPr>
          <w:rStyle w:val="CharStyle14"/>
        </w:rPr>
        <w:t xml:space="preserve">Внешний диаметр </w:t>
      </w:r>
      <w:r>
        <w:rPr>
          <w:rStyle w:val="CharStyle14"/>
          <w:lang w:val="en-US" w:eastAsia="en-US"/>
        </w:rPr>
        <w:t xml:space="preserve">0.7 </w:t>
      </w:r>
      <w:r>
        <w:rPr>
          <w:rStyle w:val="CharStyle14"/>
        </w:rPr>
        <w:t xml:space="preserve">мм., длина иглы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 xml:space="preserve">мм, производства ООО «МЕДПРОМ БОБЕНИ ПРОДАКШЕН»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ФСР </w:t>
      </w:r>
      <w:r>
        <w:rPr>
          <w:rStyle w:val="CharStyle14"/>
          <w:lang w:val="en-US" w:eastAsia="en-US"/>
        </w:rPr>
        <w:t xml:space="preserve">2010/07710). 2. </w:t>
      </w:r>
      <w:r>
        <w:rPr>
          <w:rStyle w:val="CharStyle14"/>
        </w:rPr>
        <w:t xml:space="preserve">Внешний диаметр </w:t>
      </w:r>
      <w:r>
        <w:rPr>
          <w:rStyle w:val="CharStyle14"/>
          <w:lang w:val="en-US" w:eastAsia="en-US"/>
        </w:rPr>
        <w:t xml:space="preserve">1.6 </w:t>
      </w:r>
      <w:r>
        <w:rPr>
          <w:rStyle w:val="CharStyle14"/>
        </w:rPr>
        <w:t xml:space="preserve">мм., длина иглы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 xml:space="preserve">мм, производства АО "Медполимер ЛТД" (РУ РЗН </w:t>
      </w:r>
      <w:r>
        <w:rPr>
          <w:rStyle w:val="CharStyle14"/>
          <w:lang w:val="en-US" w:eastAsia="en-US"/>
        </w:rPr>
        <w:t>2019/9203).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Более того, как указано в Разъяснении заказчика от </w:t>
      </w:r>
      <w:r>
        <w:rPr>
          <w:rStyle w:val="CharStyle14"/>
          <w:lang w:val="en-US" w:eastAsia="en-US"/>
        </w:rPr>
        <w:t xml:space="preserve">22.04.2026, </w:t>
      </w:r>
      <w:r>
        <w:rPr>
          <w:rStyle w:val="CharStyle14"/>
        </w:rPr>
        <w:t>что параметры иглы, входящей в комплект поставки, указаны исходя из потребности учреждения и необходимы для качественного, своевременного и безопасного осуществления основной деятельности в целях реализации противоэпизоотической программы. Комплектация товара иглами меньшего диаметра и длины не допускается ввиду невозможности их применения для вакцинации продуктивных животных, обладающих толстой кожей (например, КРС, северные олени, МРС и т.д.).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То есть, Заказчик отделял предмет закупки (Товар)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шприцы общего назначения от комплектующих их игл.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образом, предложенный обществом товар полностью соответствовал требованиям Заказчика </w:t>
      </w:r>
      <w:r>
        <w:rPr>
          <w:rStyle w:val="CharStyle14"/>
          <w:lang w:val="en-US" w:eastAsia="en-US"/>
        </w:rPr>
        <w:t xml:space="preserve">, </w:t>
      </w:r>
      <w:r>
        <w:rPr>
          <w:rStyle w:val="CharStyle14"/>
        </w:rPr>
        <w:t xml:space="preserve">поскольку согласно извещению заказчику необходимы шприцы общего назначения с иглой в комплекте </w:t>
      </w:r>
      <w:r>
        <w:rPr>
          <w:rStyle w:val="CharStyle14"/>
          <w:b/>
          <w:bCs/>
        </w:rPr>
        <w:t xml:space="preserve">от одной </w:t>
      </w:r>
      <w:r>
        <w:rPr>
          <w:rStyle w:val="CharStyle14"/>
        </w:rPr>
        <w:t xml:space="preserve">и более, а обществом предложен комплект, в состав которого входит две иглы, одна из которых игла (внешний диаметр </w:t>
      </w:r>
      <w:r>
        <w:rPr>
          <w:rStyle w:val="CharStyle14"/>
          <w:lang w:val="en-US" w:eastAsia="en-US"/>
        </w:rPr>
        <w:t xml:space="preserve">1.6 </w:t>
      </w:r>
      <w:r>
        <w:rPr>
          <w:rStyle w:val="CharStyle14"/>
        </w:rPr>
        <w:t xml:space="preserve">мм., длина иглы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>мм), соответствующая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 второй иглой (диаметр </w:t>
      </w:r>
      <w:r>
        <w:rPr>
          <w:rStyle w:val="CharStyle14"/>
          <w:lang w:val="en-US" w:eastAsia="en-US"/>
        </w:rPr>
        <w:t xml:space="preserve">0.7 </w:t>
      </w:r>
      <w:r>
        <w:rPr>
          <w:rStyle w:val="CharStyle14"/>
        </w:rPr>
        <w:t xml:space="preserve">мм., длина иглы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>мм) входящей в комплект, но не соответствующей по размеру условиям проводимой закупки, по мнению заявителя, заказчик может поступить по своему усмотрению, например использовать для набора лекарства в шприц из ампулы.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изложенного, заявитель просит признать жалобу обоснованной и выдать предписание об устранении выявленных нарушений.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</w:rPr>
        <w:t>Представитель уполномоченного учреждения указал, что с доводами жалобы не согласен, жалобу считает необоснованной, и пояснил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Заявка заявителя отклонена Комиссией по отбору поставщиков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ввиду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Исходя из положения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 в заключаемый контракт включается информация о конкретном товаре, предлагаемом участником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Заявителем в составе заявки предложен шприц общего назначения с иглами в комплекте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шт: при этом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игла размером 1.6х40мм,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игла размером 0.7х40мм, что в свою очередь не отвечает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Кроме того, исходя из описания объекта закупки и сведений из регистрационных удостоверений, представленных в составе заявки следует, что Заявитель предлагает к поставке товар, не зарегистрированный в одном комплекте, а имеющий два разных РУ, что в свою очередь является недопустимым т.к. из описания объекта закупки следует о необходимости поставки товара в «комплектации», что подразумевает совокупность изделий, имеющих единое целевое медицинское назначение, упаковку и маркировку.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534" w:bottom="1197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Также необходимо отметить то, что было направлено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запроса о разъяснении извещения, где Заказчиком было указано о недопустимости комплектации товара иглами меньшего размера, чем указано в описании объекта закупки, а также о том, что потребностью Заказчика является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приобретение шприцов с иглами, размеры которых установлены заказчиком при описании объекта закупки, в связи с чем разночтений или введения в заблуждения, а также двоякого трактования описания объекта закупки не было.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Направляя заявку в том виде, в котором она была рассмотрена комиссией по отбору поставщиков Заявитель жалобы объективно мог оценить риски в виде отклонения последней ввиду ее несоответствия согласно самому описанию и размещенным разъяснениям.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Относительно п.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дополнительных требований, указанного в протоколе,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участником заполняются сведения о характеристиках товара в структурированном виде. Фактически, заполнив заявку и приобщив отдельным файлом пояснения, участник закупки расширил указанные в заявке сведения.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изложенного, комиссия по отбору поставщиков при рассмотрении заявок действовала строго в рамках установленных Законом о контрактной системе и требованиям, установленным в извещении, в связи с чем, считают жалобу ООО «ТРЕЙД ЛАЙН»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14"/>
          <w:b/>
          <w:bCs/>
          <w:lang w:val="en-US" w:eastAsia="en-US"/>
        </w:rPr>
        <w:t xml:space="preserve">1 </w:t>
      </w:r>
      <w:r>
        <w:rPr>
          <w:rStyle w:val="CharStyle14"/>
          <w:b/>
          <w:bCs/>
        </w:rPr>
        <w:t xml:space="preserve">части </w:t>
      </w:r>
      <w:r>
        <w:rPr>
          <w:rStyle w:val="CharStyle14"/>
          <w:b/>
          <w:bCs/>
          <w:lang w:val="en-US" w:eastAsia="en-US"/>
        </w:rPr>
        <w:t xml:space="preserve">15 </w:t>
      </w:r>
      <w:r>
        <w:rPr>
          <w:rStyle w:val="CharStyle14"/>
          <w:b/>
          <w:bCs/>
        </w:rPr>
        <w:t xml:space="preserve">статьи </w:t>
      </w:r>
      <w:r>
        <w:rPr>
          <w:rStyle w:val="CharStyle14"/>
          <w:b/>
          <w:bCs/>
          <w:lang w:val="en-US" w:eastAsia="en-US"/>
        </w:rPr>
        <w:t xml:space="preserve">99 </w:t>
      </w:r>
      <w:r>
        <w:rPr>
          <w:rStyle w:val="CharStyle14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14"/>
          <w:b/>
          <w:bCs/>
          <w:lang w:val="en-US" w:eastAsia="en-US"/>
        </w:rPr>
        <w:t xml:space="preserve">№ 0891200000626004126, </w:t>
      </w:r>
      <w:r>
        <w:rPr>
          <w:rStyle w:val="CharStyle14"/>
          <w:b/>
          <w:bCs/>
        </w:rPr>
        <w:t>в ходе которой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20.04.2026 </w:t>
      </w:r>
      <w:r>
        <w:rPr>
          <w:rStyle w:val="CharStyle14"/>
        </w:rPr>
        <w:t xml:space="preserve">уполномоченным учреждением в интересах заказчика на официальном сайте ЕИС размещены извещение и электронные документы о проведении электронного аукциона на поставку шприцов одноразовых для ветеринарного применения (00004569-ЭА)» (реестровый номер закупки </w:t>
      </w:r>
      <w:r>
        <w:rPr>
          <w:rStyle w:val="CharStyle14"/>
          <w:lang w:val="en-US" w:eastAsia="en-US"/>
        </w:rPr>
        <w:t>0891200000626004126).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996 800,00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22.04.2026 </w:t>
      </w:r>
      <w:r>
        <w:rPr>
          <w:rStyle w:val="CharStyle14"/>
        </w:rPr>
        <w:t xml:space="preserve">поступил запрос о даче разъяснений положений извещения об осуществлении закупки («К шприцам указана игла диаметром </w:t>
      </w:r>
      <w:r>
        <w:rPr>
          <w:rStyle w:val="CharStyle14"/>
          <w:lang w:val="en-US" w:eastAsia="en-US"/>
        </w:rPr>
        <w:t xml:space="preserve">≥ 1.6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≤ 2 </w:t>
      </w:r>
      <w:r>
        <w:rPr>
          <w:rStyle w:val="CharStyle14"/>
        </w:rPr>
        <w:t xml:space="preserve">и длиной </w:t>
      </w:r>
      <w:r>
        <w:rPr>
          <w:rStyle w:val="CharStyle14"/>
          <w:lang w:val="en-US" w:eastAsia="en-US"/>
        </w:rPr>
        <w:t xml:space="preserve">≥ 35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≤ 50 </w:t>
      </w:r>
      <w:r>
        <w:rPr>
          <w:rStyle w:val="CharStyle14"/>
        </w:rPr>
        <w:t>мм. Возможна ли поставка шприцев с иглой 0,8х40 мм? Просим внести изменение»).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22.04.2026 </w:t>
      </w:r>
      <w:r>
        <w:rPr>
          <w:rStyle w:val="CharStyle14"/>
        </w:rPr>
        <w:t>заказчиком размещен ответ на запрос («Параметры иглы, входящей в комплект поставки, указаны исходя из потребности учреждения и необходимы для качественного, своевременного и безопасного осуществления основной деятельности в целях реализации противоэпизоотической программы. Комплектация товара иглами меньшего диаметра и длины не допускается ввиду невозможности их применения для вакцинации продуктивных животных, обладающих толстой кожей (например, КРС, северные олени, МРС и т.д.)»).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24.04.2026 </w:t>
      </w:r>
      <w:r>
        <w:rPr>
          <w:rStyle w:val="CharStyle14"/>
        </w:rPr>
        <w:t xml:space="preserve">поступил запрос о даче разъяснений положений извещения об осуществлении закупки </w:t>
      </w:r>
      <w:r>
        <w:rPr>
          <w:rStyle w:val="CharStyle14"/>
          <w:lang w:val="en-US" w:eastAsia="en-US"/>
        </w:rPr>
        <w:t xml:space="preserve">« </w:t>
      </w:r>
      <w:r>
        <w:rPr>
          <w:rStyle w:val="CharStyle14"/>
        </w:rPr>
        <w:t xml:space="preserve">Просим рассмотреть возможность поставки шприца без иглы и добавить в аукцион иглу отдельной позицией, т.к. российские производители не комплектуют шприцы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мл с иглами больших размеров, т.к. данные шприцы применяются для инъекций людям, а не КРС».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24.04.2026 </w:t>
      </w:r>
      <w:r>
        <w:rPr>
          <w:rStyle w:val="CharStyle14"/>
        </w:rPr>
        <w:t>заказчиком размещен ответ на запрос «Поставка шприцев без игл не рассматривается. Требования аукционной документации сформированы исходя из потребностей Заказчика и предусматривают поставку шприцев, укомплектованных иглами соответствующих характеристик. Изменение комплектации, в том числе выделение игл в отдельную позицию, не планируется»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на участие в закупке поступило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заявки (из них соответствует требованиям: </w:t>
      </w:r>
      <w:r>
        <w:rPr>
          <w:rStyle w:val="CharStyle14"/>
          <w:lang w:val="en-US" w:eastAsia="en-US"/>
        </w:rPr>
        <w:t xml:space="preserve">0 ; </w:t>
      </w:r>
      <w:r>
        <w:rPr>
          <w:rStyle w:val="CharStyle14"/>
        </w:rPr>
        <w:t xml:space="preserve">отклонено: </w:t>
      </w:r>
      <w:r>
        <w:rPr>
          <w:rStyle w:val="CharStyle14"/>
          <w:lang w:val="en-US" w:eastAsia="en-US"/>
        </w:rPr>
        <w:t>2).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Электронный аукцион признан несостоявшимся, поскольку по результатам рассмотрения заявок на участие в закупке все поданные заявки отклонены (п.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52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</w:rPr>
        <w:t>Рассмотрев представленные документы, Комиссия приходит к выводам о необоснованности жалобы заявителя ввиду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пунктами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2" w:val="left"/>
        </w:tabs>
        <w:bidi w:val="0"/>
        <w:spacing w:before="0" w:after="0" w:line="336" w:lineRule="auto"/>
        <w:ind w:left="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526" w:left="1106" w:header="682" w:footer="98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</w:t>
      </w:r>
      <w:r>
        <w:rPr>
          <w:rStyle w:val="CharStyle14"/>
          <w:lang w:val="en-US" w:eastAsia="en-US"/>
        </w:rPr>
        <w:t>2026-2623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</w:t>
      </w:r>
      <w:r>
        <w:rPr>
          <w:rStyle w:val="CharStyle14"/>
          <w:u w:val="single"/>
        </w:rPr>
        <w:t xml:space="preserve">пункту </w:t>
      </w:r>
      <w:r>
        <w:rPr>
          <w:rStyle w:val="CharStyle14"/>
          <w:u w:val="single"/>
          <w:lang w:val="en-US" w:eastAsia="en-US"/>
        </w:rPr>
        <w:t xml:space="preserve">5 </w:t>
      </w:r>
      <w:r>
        <w:rPr>
          <w:rStyle w:val="CharStyle14"/>
          <w:u w:val="single"/>
        </w:rPr>
        <w:t xml:space="preserve">части </w:t>
      </w:r>
      <w:r>
        <w:rPr>
          <w:rStyle w:val="CharStyle14"/>
          <w:u w:val="single"/>
          <w:lang w:val="en-US" w:eastAsia="en-US"/>
        </w:rPr>
        <w:t xml:space="preserve">1 </w:t>
      </w:r>
      <w:r>
        <w:rPr>
          <w:rStyle w:val="CharStyle14"/>
          <w:u w:val="single"/>
        </w:rPr>
        <w:t xml:space="preserve">статьи </w:t>
      </w:r>
      <w:r>
        <w:rPr>
          <w:rStyle w:val="CharStyle14"/>
          <w:u w:val="single"/>
          <w:lang w:val="en-US" w:eastAsia="en-US"/>
        </w:rPr>
        <w:t>42</w:t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</w:t>
      </w:r>
      <w:r>
        <w:rPr>
          <w:rStyle w:val="CharStyle14"/>
        </w:rPr>
        <w:t xml:space="preserve"> </w:t>
      </w:r>
      <w:r>
        <w:rPr>
          <w:rStyle w:val="CharStyle14"/>
          <w:u w:val="single"/>
        </w:rPr>
        <w:t xml:space="preserve">частью </w:t>
      </w:r>
      <w:r>
        <w:rPr>
          <w:rStyle w:val="CharStyle14"/>
          <w:u w:val="single"/>
          <w:lang w:val="en-US" w:eastAsia="en-US"/>
        </w:rPr>
        <w:t xml:space="preserve">6 </w:t>
      </w:r>
      <w:r>
        <w:rPr>
          <w:rStyle w:val="CharStyle14"/>
          <w:u w:val="single"/>
        </w:rPr>
        <w:t xml:space="preserve">статьи </w:t>
      </w:r>
      <w:r>
        <w:rPr>
          <w:rStyle w:val="CharStyle14"/>
          <w:u w:val="single"/>
          <w:lang w:val="en-US" w:eastAsia="en-US"/>
        </w:rPr>
        <w:t>23</w:t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 и ведения каталога товаров, работ, услуг)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Правила использования каталога товаров, работ, услуг).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</w:t>
      </w:r>
      <w:r>
        <w:rPr>
          <w:rStyle w:val="CharStyle14"/>
          <w:u w:val="single"/>
        </w:rPr>
        <w:t xml:space="preserve">подпунктом «б» пункта </w:t>
      </w:r>
      <w:r>
        <w:rPr>
          <w:rStyle w:val="CharStyle14"/>
          <w:u w:val="single"/>
          <w:lang w:val="en-US" w:eastAsia="en-US"/>
        </w:rPr>
        <w:t>2</w:t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Правил использования каталога товаров, работ, услуг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этом, заказчик обязан применять позиции КТРУ в части описания объекта закупки, если такое описание предусмотрено позицией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Федерального закона (п.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>Правил).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требований, условных обозначений и терминологии (пункт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извещение о закупке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 xml:space="preserve">Требования к содержанию заявки участника закупки установлены в статье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 xml:space="preserve">В соответствии с в.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 при формировании предложения участника закупки в отношении объекта закупки информация о товаре, предусмотренная</w:t>
      </w:r>
      <w:r>
        <w:fldChar w:fldCharType="begin"/>
      </w:r>
      <w:r>
        <w:rPr/>
        <w:instrText> HYPERLINK "https://www.consultant.ru/document/cons_doc_LAW_494990/5a18b3d46fe0fd48f2482cd6ec7ce419763efccd/%23dst2343" </w:instrText>
      </w:r>
      <w:r>
        <w:fldChar w:fldCharType="separate"/>
      </w:r>
      <w:r>
        <w:rPr>
          <w:rStyle w:val="CharStyle14"/>
        </w:rPr>
        <w:t xml:space="preserve"> подпунктами "а"</w:t>
      </w:r>
      <w:r>
        <w:fldChar w:fldCharType="end"/>
      </w:r>
      <w:r>
        <w:rPr>
          <w:rStyle w:val="CharStyle14"/>
        </w:rPr>
        <w:t xml:space="preserve"> и </w:t>
      </w:r>
      <w:r>
        <w:fldChar w:fldCharType="begin"/>
      </w:r>
      <w:r>
        <w:rPr/>
        <w:instrText> HYPERLINK "https://www.consultant.ru/document/cons_doc_LAW_494990/5a18b3d46fe0fd48f2482cd6ec7ce419763efccd/%23dst2344" </w:instrText>
      </w:r>
      <w:r>
        <w:fldChar w:fldCharType="separate"/>
      </w:r>
      <w:r>
        <w:rPr>
          <w:rStyle w:val="CharStyle14"/>
        </w:rPr>
        <w:t xml:space="preserve">"б"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fldChar w:fldCharType="end"/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</w:t>
      </w:r>
      <w:r>
        <w:fldChar w:fldCharType="begin"/>
      </w:r>
      <w:r>
        <w:rPr/>
        <w:instrText> HYPERLINK "https://www.consultant.ru/document/cons_doc_LAW_494990/5a18b3d46fe0fd48f2482cd6ec7ce419763efccd/%23dst2343" </w:instrText>
      </w:r>
      <w:r>
        <w:fldChar w:fldCharType="separate"/>
      </w:r>
      <w:r>
        <w:rPr>
          <w:rStyle w:val="CharStyle14"/>
        </w:rPr>
        <w:t xml:space="preserve"> подпунктом "а"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fldChar w:fldCharType="end"/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43, </w:t>
      </w:r>
      <w:r>
        <w:rPr>
          <w:rStyle w:val="CharStyle14"/>
        </w:rPr>
        <w:t>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>В соответствии с</w:t>
      </w:r>
      <w:r>
        <w:fldChar w:fldCharType="begin"/>
      </w:r>
      <w:r>
        <w:rPr/>
        <w:instrText> HYPERLINK "https://www.consultant.ru/document/cons_doc_LAW_494990/5a18b3d46fe0fd48f2482cd6ec7ce419763efccd/%23dst2343" </w:instrText>
      </w:r>
      <w:r>
        <w:fldChar w:fldCharType="separate"/>
      </w:r>
      <w:r>
        <w:rPr>
          <w:rStyle w:val="CharStyle14"/>
        </w:rPr>
        <w:t xml:space="preserve"> подпунктами «а» </w:t>
      </w:r>
      <w:r>
        <w:fldChar w:fldCharType="end"/>
      </w:r>
      <w:r>
        <w:rPr>
          <w:rStyle w:val="CharStyle14"/>
        </w:rPr>
        <w:t>и</w:t>
      </w:r>
      <w:r>
        <w:fldChar w:fldCharType="begin"/>
      </w:r>
      <w:r>
        <w:rPr/>
        <w:instrText> HYPERLINK "https://www.consultant.ru/document/cons_doc_LAW_494990/5a18b3d46fe0fd48f2482cd6ec7ce419763efccd/%23dst2344" </w:instrText>
      </w:r>
      <w:r>
        <w:fldChar w:fldCharType="separate"/>
      </w:r>
      <w:r>
        <w:rPr>
          <w:rStyle w:val="CharStyle14"/>
        </w:rPr>
        <w:t xml:space="preserve"> «б»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fldChar w:fldCharType="end"/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 предложение участника закупки в отношении объекта закупки должно содержать: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>с учетом положений</w:t>
      </w:r>
      <w:r>
        <w:fldChar w:fldCharType="begin"/>
      </w:r>
      <w:r>
        <w:rPr/>
        <w:instrText> HYPERLINK "https://www.consultant.ru/document/cons_doc_LAW_494990/5a18b3d46fe0fd48f2482cd6ec7ce419763efccd/%23dst2351" </w:instrText>
      </w:r>
      <w:r>
        <w:fldChar w:fldCharType="separate"/>
      </w:r>
      <w:r>
        <w:rPr>
          <w:rStyle w:val="CharStyle14"/>
        </w:rPr>
        <w:t xml:space="preserve"> части </w:t>
      </w:r>
      <w:r>
        <w:rPr>
          <w:rStyle w:val="CharStyle14"/>
          <w:lang w:val="en-US" w:eastAsia="en-US"/>
        </w:rPr>
        <w:t>2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</w:t>
      </w:r>
      <w:r>
        <w:fldChar w:fldCharType="begin"/>
      </w:r>
      <w:r>
        <w:rPr/>
        <w:instrText> HYPERLINK "https://www.consultant.ru/document/cons_doc_LAW_494990/d6aec91603ff628ea274b8552ce2849e06e0aa4c/%23dst2234" </w:instrText>
      </w:r>
      <w:r>
        <w:fldChar w:fldCharType="separate"/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>33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закона, товарный знак (при наличии у товара товарного знака);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>наименование страны происхождения товара в соответствии с общероссийским</w:t>
      </w:r>
      <w:r>
        <w:fldChar w:fldCharType="begin"/>
      </w:r>
      <w:r>
        <w:rPr/>
        <w:instrText> HYPERLINK "https://www.consultant.ru/document/cons_doc_LAW_486066/7398760f37fefb642327c4fef777e3b5389eda2f/%23dst100010" </w:instrText>
      </w:r>
      <w:r>
        <w:fldChar w:fldCharType="separate"/>
      </w:r>
      <w:r>
        <w:rPr>
          <w:rStyle w:val="CharStyle14"/>
        </w:rPr>
        <w:t xml:space="preserve"> классификатором</w:t>
      </w:r>
      <w:r>
        <w:fldChar w:fldCharType="end"/>
      </w:r>
      <w:r>
        <w:rPr>
          <w:rStyle w:val="CharStyle14"/>
        </w:rPr>
        <w:t xml:space="preserve">, используемым для идентификации стран мира, с учетом положений </w:t>
      </w:r>
      <w:r>
        <w:fldChar w:fldCharType="begin"/>
      </w:r>
      <w:r>
        <w:rPr/>
        <w:instrText> HYPERLINK "https://www.consultant.ru/document/cons_doc_LAW_494990/5a18b3d46fe0fd48f2482cd6ec7ce419763efccd/%23dst2351" </w:instrText>
      </w:r>
      <w:r>
        <w:fldChar w:fldCharType="separate"/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>2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>43.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 xml:space="preserve">Таким образом, в соответствии с подпунктом а)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>Исходя из изложенного, при описании объекта закупки заказчиком указываются требуемые характеристики закупаемых товаров, участником закупки в составе заявки предлагается товар с характеристиками, соответствующими установленным в техническом задании.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</w:rPr>
        <w:t>В составе извещения о закупке размещен файл «описание объекта закупки», содержащий следующие требования:</w:t>
      </w:r>
    </w:p>
    <w:tbl>
      <w:tblPr>
        <w:tblOverlap w:val="never"/>
        <w:jc w:val="center"/>
        <w:tblLayout w:type="fixed"/>
      </w:tblPr>
      <w:tblGrid>
        <w:gridCol w:w="552"/>
        <w:gridCol w:w="1546"/>
        <w:gridCol w:w="989"/>
        <w:gridCol w:w="1138"/>
        <w:gridCol w:w="2242"/>
        <w:gridCol w:w="2242"/>
        <w:gridCol w:w="1723"/>
      </w:tblGrid>
      <w:tr>
        <w:trPr>
          <w:trHeight w:val="14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b/>
                <w:bCs/>
                <w:lang w:val="en-US" w:eastAsia="en-US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b/>
                <w:bCs/>
              </w:rPr>
              <w:t>Перечень товаров, работ, услуг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b/>
                <w:bCs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b/>
                <w:bCs/>
              </w:rPr>
              <w:t>Кол-во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  <w:b/>
                <w:bCs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Style w:val="CharStyle26"/>
                <w:b/>
                <w:bCs/>
              </w:rPr>
              <w:t>Инструкции</w:t>
            </w:r>
          </w:p>
        </w:tc>
      </w:tr>
      <w:tr>
        <w:trPr>
          <w:trHeight w:val="194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Шприц общего назначения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шт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112000.0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Коннектор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Луер Слип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</w:rPr>
              <w:t>Значение характеристи ки не может изменяться участником закупки</w:t>
            </w:r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Игла в комплекте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≥1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</w:rPr>
              <w:t>Участник закупки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52"/>
        <w:gridCol w:w="1546"/>
        <w:gridCol w:w="989"/>
        <w:gridCol w:w="1138"/>
        <w:gridCol w:w="2242"/>
        <w:gridCol w:w="2242"/>
        <w:gridCol w:w="1723"/>
      </w:tblGrid>
      <w:tr>
        <w:trPr>
          <w:trHeight w:val="167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</w:rPr>
              <w:t>указывает в заявке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</w:rPr>
              <w:t>конкретное значение характеристи ки</w:t>
            </w:r>
          </w:p>
        </w:tc>
      </w:tr>
      <w:tr>
        <w:trPr>
          <w:trHeight w:val="19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Градуированный объем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 xml:space="preserve">5 </w:t>
            </w:r>
            <w:r>
              <w:rPr>
                <w:rStyle w:val="CharStyle26"/>
              </w:rPr>
              <w:t>Кубический сантиметр; миллилитр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</w:rPr>
              <w:t>Значение характеристи ки не может изменяться участником закупки</w:t>
            </w:r>
          </w:p>
        </w:tc>
      </w:tr>
      <w:tr>
        <w:trPr>
          <w:trHeight w:val="221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Внешний диаметр иглы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 xml:space="preserve">≥ 1.6 </w:t>
            </w:r>
            <w:r>
              <w:rPr>
                <w:rStyle w:val="CharStyle26"/>
              </w:rPr>
              <w:t xml:space="preserve">и </w:t>
            </w:r>
            <w:r>
              <w:rPr>
                <w:rStyle w:val="CharStyle26"/>
                <w:lang w:val="en-US" w:eastAsia="en-US"/>
              </w:rPr>
              <w:t xml:space="preserve">≤ 2 </w:t>
            </w:r>
            <w:r>
              <w:rPr>
                <w:rStyle w:val="CharStyle26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 ки</w:t>
            </w:r>
          </w:p>
        </w:tc>
      </w:tr>
      <w:tr>
        <w:trPr>
          <w:trHeight w:val="24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Длина иглы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 xml:space="preserve">≥ 35 </w:t>
            </w:r>
            <w:r>
              <w:rPr>
                <w:rStyle w:val="CharStyle26"/>
              </w:rPr>
              <w:t xml:space="preserve">и </w:t>
            </w:r>
            <w:r>
              <w:rPr>
                <w:rStyle w:val="CharStyle26"/>
                <w:lang w:val="en-US" w:eastAsia="en-US"/>
              </w:rPr>
              <w:t xml:space="preserve">≤ 50 </w:t>
            </w:r>
            <w:r>
              <w:rPr>
                <w:rStyle w:val="CharStyle26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 ки</w:t>
            </w:r>
          </w:p>
        </w:tc>
      </w:tr>
      <w:tr>
        <w:trPr>
          <w:trHeight w:val="525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Style w:val="CharStyle26"/>
              </w:rPr>
              <w:t xml:space="preserve">Данные характеристики объекта закупки включены в настоящее описание объекта закупки (техническое задание) в соответствии с пунктом </w:t>
            </w:r>
            <w:r>
              <w:rPr>
                <w:rStyle w:val="CharStyle26"/>
                <w:lang w:val="en-US" w:eastAsia="en-US"/>
              </w:rPr>
              <w:t xml:space="preserve">5 </w:t>
            </w:r>
            <w:r>
              <w:rPr>
                <w:rStyle w:val="CharStyle26"/>
              </w:rPr>
              <w:t xml:space="preserve">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</w:t>
            </w:r>
            <w:r>
              <w:rPr>
                <w:rStyle w:val="CharStyle26"/>
                <w:lang w:val="en-US" w:eastAsia="en-US"/>
              </w:rPr>
              <w:t xml:space="preserve">8 </w:t>
            </w:r>
            <w:r>
              <w:rPr>
                <w:rStyle w:val="CharStyle26"/>
              </w:rPr>
              <w:t xml:space="preserve">февраля </w:t>
            </w:r>
            <w:r>
              <w:rPr>
                <w:rStyle w:val="CharStyle26"/>
                <w:lang w:val="en-US" w:eastAsia="en-US"/>
              </w:rPr>
              <w:t xml:space="preserve">2017 </w:t>
            </w:r>
            <w:r>
              <w:rPr>
                <w:rStyle w:val="CharStyle26"/>
              </w:rPr>
              <w:t xml:space="preserve">г. </w:t>
            </w:r>
            <w:r>
              <w:rPr>
                <w:rStyle w:val="CharStyle26"/>
                <w:lang w:val="en-US" w:eastAsia="en-US"/>
              </w:rPr>
              <w:t xml:space="preserve">N 145: </w:t>
            </w:r>
            <w:r>
              <w:rPr>
                <w:rStyle w:val="CharStyle26"/>
              </w:rPr>
              <w:t xml:space="preserve">Дополнительные характеристики объекта закупки, не предусмотренные КТРУ, указаны исходя из потребности учреждения и необходим для качественного, своевременного и безопасного осуществления основной деятельности в целях реализации противоэпизоотической программы. </w:t>
            </w:r>
            <w:r>
              <w:rPr>
                <w:rStyle w:val="CharStyle26"/>
                <w:b/>
                <w:bCs/>
                <w:u w:val="single"/>
              </w:rPr>
              <w:t>Комплектация товара иглами меньшего диаметра и длины не допускается</w:t>
            </w:r>
            <w:r>
              <w:rPr>
                <w:rStyle w:val="CharStyle26"/>
                <w:b/>
                <w:bCs/>
              </w:rPr>
              <w:t xml:space="preserve"> </w:t>
            </w:r>
            <w:r>
              <w:rPr>
                <w:rStyle w:val="CharStyle26"/>
              </w:rPr>
              <w:t>ввиду невозможности их применения для вакцинации продуктивных животных, обладающих толстой кожей (например, КРС, северные олени, МРС и т.д.).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fldChar w:fldCharType="begin"/>
      </w:r>
      <w:r>
        <w:rPr/>
        <w:instrText> HYPERLINK "https://www.consultant.ru/document/cons_doc_LAW_454257/b049ab61078e25e03a91a0999ed81ee37a622560/%23dst2589" </w:instrText>
      </w:r>
      <w:r>
        <w:fldChar w:fldCharType="separate"/>
      </w:r>
      <w:r>
        <w:rPr>
          <w:rStyle w:val="CharStyle14"/>
        </w:rPr>
        <w:t xml:space="preserve">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 </w:t>
      </w:r>
      <w:r>
        <w:fldChar w:fldCharType="end"/>
      </w:r>
      <w:r>
        <w:rPr>
          <w:rStyle w:val="CharStyle14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fldChar w:fldCharType="begin"/>
      </w:r>
      <w:r>
        <w:rPr/>
        <w:instrText> HYPERLINK "https://www.consultant.ru/document/cons_doc_LAW_454257/fc5809ef5588b4cf9720e8f06229a67093c06389/%23dst2520" </w:instrText>
      </w:r>
      <w:r>
        <w:fldChar w:fldCharType="separate"/>
      </w:r>
      <w:r>
        <w:rPr>
          <w:rStyle w:val="CharStyle14"/>
        </w:rPr>
        <w:t xml:space="preserve"> пунктами </w:t>
      </w:r>
      <w:r>
        <w:rPr>
          <w:rStyle w:val="CharStyle14"/>
          <w:lang w:val="en-US" w:eastAsia="en-US"/>
        </w:rPr>
        <w:t xml:space="preserve">1 </w:t>
      </w:r>
      <w:r>
        <w:fldChar w:fldCharType="end"/>
      </w:r>
      <w:r>
        <w:rPr>
          <w:rStyle w:val="CharStyle14"/>
          <w:lang w:val="en-US" w:eastAsia="en-US"/>
        </w:rPr>
        <w:t>-</w:t>
      </w:r>
      <w:r>
        <w:fldChar w:fldCharType="begin"/>
      </w:r>
      <w:r>
        <w:rPr/>
        <w:instrText> HYPERLINK "https://www.consultant.ru/document/cons_doc_LAW_454257/fc5809ef5588b4cf9720e8f06229a67093c06389/%23dst2527" </w:instrText>
      </w:r>
      <w:r>
        <w:fldChar w:fldCharType="separate"/>
      </w:r>
      <w:r>
        <w:rPr>
          <w:rStyle w:val="CharStyle14"/>
          <w:lang w:val="en-US" w:eastAsia="en-US"/>
        </w:rPr>
        <w:t xml:space="preserve">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fldChar w:fldCharType="end"/>
      </w:r>
      <w:r>
        <w:rPr>
          <w:rStyle w:val="CharStyle14"/>
        </w:rPr>
        <w:t>Закона;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"https://www.consultant.ru/document/cons_doc_LAW_454257/b049ab61078e25e03a91a0999ed81ee37a622560/%23dst2592" </w:instrText>
      </w:r>
      <w:r>
        <w:fldChar w:fldCharType="separate"/>
      </w:r>
      <w:r>
        <w:rPr>
          <w:rStyle w:val="CharStyle14"/>
        </w:rPr>
        <w:t xml:space="preserve"> подпунктом "а"</w:t>
      </w:r>
      <w:r>
        <w:fldChar w:fldCharType="end"/>
      </w:r>
      <w:r>
        <w:rPr>
          <w:rStyle w:val="CharStyle14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"https://www.consultant.ru/document/cons_doc_LAW_454257/b049ab61078e25e03a91a0999ed81ee37a622560/%23dst2577" </w:instrText>
      </w:r>
      <w:r>
        <w:fldChar w:fldCharType="separate"/>
      </w:r>
      <w:r>
        <w:rPr>
          <w:rStyle w:val="CharStyle14"/>
        </w:rPr>
        <w:t xml:space="preserve">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>3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"https://www.consultant.ru/document/cons_doc_LAW_454257/b049ab61078e25e03a91a0999ed81ee37a622560/%23dst2577" </w:instrText>
      </w:r>
      <w:r>
        <w:fldChar w:fldCharType="separate"/>
      </w:r>
      <w:r>
        <w:rPr>
          <w:rStyle w:val="CharStyle14"/>
        </w:rPr>
        <w:t xml:space="preserve"> абзацем первым пункта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fldChar w:fldCharType="end"/>
      </w:r>
      <w:r>
        <w:rPr>
          <w:rStyle w:val="CharStyle14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fldChar w:fldCharType="begin"/>
      </w:r>
      <w:r>
        <w:rPr/>
        <w:instrText> HYPERLINK "https://www.consultant.ru/document/cons_doc_LAW_454257/2c1e3551b4209a9fa5744534f7525ac7430624eb/%23dst100116" </w:instrText>
      </w:r>
      <w:r>
        <w:fldChar w:fldCharType="separate"/>
      </w:r>
      <w:r>
        <w:rPr>
          <w:rStyle w:val="CharStyle14"/>
        </w:rPr>
        <w:t xml:space="preserve"> статьей </w:t>
      </w:r>
      <w:r>
        <w:rPr>
          <w:rStyle w:val="CharStyle14"/>
          <w:lang w:val="en-US" w:eastAsia="en-US"/>
        </w:rPr>
        <w:t xml:space="preserve">14 </w:t>
      </w:r>
      <w:r>
        <w:fldChar w:fldCharType="end"/>
      </w:r>
      <w:r>
        <w:rPr>
          <w:rStyle w:val="CharStyle14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</w:t>
      </w:r>
      <w:r>
        <w:fldChar w:fldCharType="begin"/>
      </w:r>
      <w:r>
        <w:rPr/>
        <w:instrText> HYPERLINK "https://www.consultant.ru/document/cons_doc_LAW_454257/fc5809ef5588b4cf9720e8f06229a67093c06389/%23dst2547" </w:instrText>
      </w:r>
      <w:r>
        <w:fldChar w:fldCharType="separate"/>
      </w:r>
      <w:r>
        <w:rPr>
          <w:rStyle w:val="CharStyle14"/>
        </w:rPr>
        <w:t xml:space="preserve"> пунктами </w:t>
      </w:r>
      <w:r>
        <w:rPr>
          <w:rStyle w:val="CharStyle14"/>
          <w:lang w:val="en-US" w:eastAsia="en-US"/>
        </w:rPr>
        <w:t>1</w:t>
      </w:r>
      <w:r>
        <w:fldChar w:fldCharType="end"/>
      </w:r>
      <w:r>
        <w:rPr>
          <w:rStyle w:val="CharStyle14"/>
          <w:lang w:val="en-US" w:eastAsia="en-US"/>
        </w:rPr>
        <w:t xml:space="preserve">, </w:t>
      </w:r>
      <w:r>
        <w:fldChar w:fldCharType="begin"/>
      </w:r>
      <w:r>
        <w:rPr/>
        <w:instrText> HYPERLINK "https://www.consultant.ru/document/cons_doc_LAW_454257/fc5809ef5588b4cf9720e8f06229a67093c06389/%23dst2548" </w:instrText>
      </w:r>
      <w:r>
        <w:fldChar w:fldCharType="separate"/>
      </w:r>
      <w:r>
        <w:rPr>
          <w:rStyle w:val="CharStyle14"/>
          <w:lang w:val="en-US" w:eastAsia="en-US"/>
        </w:rPr>
        <w:t>2</w:t>
      </w:r>
      <w:r>
        <w:fldChar w:fldCharType="end"/>
      </w:r>
      <w:r>
        <w:rPr>
          <w:rStyle w:val="CharStyle14"/>
          <w:lang w:val="en-US" w:eastAsia="en-US"/>
        </w:rPr>
        <w:t xml:space="preserve">, </w:t>
      </w:r>
      <w:r>
        <w:fldChar w:fldCharType="begin"/>
      </w:r>
      <w:r>
        <w:rPr/>
        <w:instrText> HYPERLINK "https://www.consultant.ru/document/cons_doc_LAW_454257/fc5809ef5588b4cf9720e8f06229a67093c06389/%23dst2550" </w:instrText>
      </w:r>
      <w:r>
        <w:fldChar w:fldCharType="separate"/>
      </w:r>
      <w:r>
        <w:rPr>
          <w:rStyle w:val="CharStyle14"/>
          <w:lang w:val="en-US" w:eastAsia="en-US"/>
        </w:rPr>
        <w:t xml:space="preserve">4 </w:t>
      </w:r>
      <w:r>
        <w:fldChar w:fldCharType="end"/>
      </w:r>
      <w:r>
        <w:rPr>
          <w:rStyle w:val="CharStyle14"/>
          <w:lang w:val="en-US" w:eastAsia="en-US"/>
        </w:rPr>
        <w:t>-</w:t>
      </w:r>
      <w:r>
        <w:fldChar w:fldCharType="begin"/>
      </w:r>
      <w:r>
        <w:rPr/>
        <w:instrText> HYPERLINK "https://www.consultant.ru/document/cons_doc_LAW_454257/fc5809ef5588b4cf9720e8f06229a67093c06389/%23dst2553" </w:instrText>
      </w:r>
      <w:r>
        <w:fldChar w:fldCharType="separate"/>
      </w:r>
      <w:r>
        <w:rPr>
          <w:rStyle w:val="CharStyle14"/>
          <w:lang w:val="en-US" w:eastAsia="en-US"/>
        </w:rPr>
        <w:t xml:space="preserve"> 7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fldChar w:fldCharType="end"/>
      </w:r>
      <w:r>
        <w:rPr>
          <w:rStyle w:val="CharStyle14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законом) в заявке на участие в закупке информации и документов, предусмотренных извещением об осуществлении закупки в соответствии с законом (за исключением информации и документов, предусмотренных</w:t>
      </w:r>
      <w:r>
        <w:fldChar w:fldCharType="begin"/>
      </w:r>
      <w:r>
        <w:rPr/>
        <w:instrText> HYPERLINK "https://www.consultant.ru/document/cons_doc_LAW_494990/5a18b3d46fe0fd48f2482cd6ec7ce419763efccd/%23dst2359" </w:instrText>
      </w:r>
      <w:r>
        <w:fldChar w:fldCharType="separate"/>
      </w:r>
      <w:r>
        <w:rPr>
          <w:rStyle w:val="CharStyle14"/>
        </w:rPr>
        <w:t xml:space="preserve"> </w:t>
      </w:r>
      <w:r>
        <w:rPr>
          <w:rStyle w:val="CharStyle14"/>
          <w:color w:val="000080"/>
          <w:u w:val="single"/>
        </w:rPr>
        <w:t xml:space="preserve">пунктами </w:t>
      </w:r>
      <w:r>
        <w:rPr>
          <w:rStyle w:val="CharStyle14"/>
          <w:color w:val="000080"/>
          <w:u w:val="single"/>
          <w:lang w:val="en-US" w:eastAsia="en-US"/>
        </w:rPr>
        <w:t>2</w:t>
      </w:r>
      <w:r>
        <w:fldChar w:fldCharType="end"/>
      </w:r>
      <w:r>
        <w:rPr>
          <w:rStyle w:val="CharStyle14"/>
          <w:color w:val="000080"/>
          <w:lang w:val="en-US" w:eastAsia="en-US"/>
        </w:rPr>
        <w:t xml:space="preserve"> </w:t>
      </w:r>
      <w:r>
        <w:rPr>
          <w:rStyle w:val="CharStyle14"/>
        </w:rPr>
        <w:t xml:space="preserve">и </w:t>
      </w:r>
      <w:r>
        <w:fldChar w:fldCharType="begin"/>
      </w:r>
      <w:r>
        <w:rPr/>
        <w:instrText> HYPERLINK "https://www.consultant.ru/document/cons_doc_LAW_494990/5a18b3d46fe0fd48f2482cd6ec7ce419763efccd/%23dst2360"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 xml:space="preserve">3 </w:t>
      </w:r>
      <w:r>
        <w:rPr>
          <w:rStyle w:val="CharStyle14"/>
          <w:color w:val="000080"/>
          <w:u w:val="single"/>
        </w:rPr>
        <w:t xml:space="preserve">части </w:t>
      </w:r>
      <w:r>
        <w:rPr>
          <w:rStyle w:val="CharStyle14"/>
          <w:color w:val="000080"/>
          <w:u w:val="single"/>
          <w:lang w:val="en-US" w:eastAsia="en-US"/>
        </w:rPr>
        <w:t xml:space="preserve">6 </w:t>
      </w:r>
      <w:r>
        <w:rPr>
          <w:rStyle w:val="CharStyle14"/>
          <w:color w:val="000080"/>
          <w:u w:val="single"/>
        </w:rPr>
        <w:t xml:space="preserve">статьи </w:t>
      </w:r>
      <w:r>
        <w:rPr>
          <w:rStyle w:val="CharStyle14"/>
          <w:color w:val="000080"/>
          <w:u w:val="single"/>
          <w:lang w:val="en-US" w:eastAsia="en-US"/>
        </w:rPr>
        <w:t>43</w:t>
      </w:r>
      <w:r>
        <w:fldChar w:fldCharType="end"/>
      </w:r>
      <w:r>
        <w:rPr>
          <w:rStyle w:val="CharStyle14"/>
          <w:color w:val="000080"/>
          <w:lang w:val="en-US" w:eastAsia="en-US"/>
        </w:rPr>
        <w:t xml:space="preserve"> </w:t>
      </w:r>
      <w:r>
        <w:rPr>
          <w:rStyle w:val="CharStyle14"/>
        </w:rPr>
        <w:t>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заявка участника закупки должна содержать информацию и документы в отношении предлагаемого участником закупки товара. При этом характеристики предлагаемого участником закупки товара должны соответствовать показателям, установленным в описании объекта закупки,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(подпунктом "а"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Исходя из положения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о контрактной системе в заключаемый контракт включается информация о конкретном товаре, предлагаемом участником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Заявка заявителя отклонена комиссией уполномоченного учреждения по следующим основаниям: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«Пп. а п.1 ч.5 ст.49, п.1 ч.12 ст.48: несоответствие информации и документов, предусмотренных извещением (за исключением предусмотренных п.п.2,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ч.6 ст.43),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дополнительных требований к операторам ЭТП, утв. Постановлением Правительства </w:t>
      </w:r>
      <w:r>
        <w:rPr>
          <w:rStyle w:val="CharStyle14"/>
          <w:lang w:val="en-US" w:eastAsia="en-US"/>
        </w:rPr>
        <w:t xml:space="preserve">№656. </w:t>
      </w:r>
      <w:r>
        <w:rPr>
          <w:rStyle w:val="CharStyle14"/>
        </w:rPr>
        <w:t xml:space="preserve">При формировании предложения участника закупки в отношении объекта закупки, предусмотренного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Федерального закона, 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извещении об осуществлении закупки в соответствии с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Федерального закона, в приглашении принять участие в определении поставщика (подрядчика, исполнителя)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75 </w:t>
      </w:r>
      <w:r>
        <w:rPr>
          <w:rStyle w:val="CharStyle14"/>
        </w:rPr>
        <w:t xml:space="preserve">Федерального закона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исполнителя).В соответствии с инструкцией по заполнению заявки при указании характеристик (показателей) сопровождающихся словами: позиция.:1. «Шприц общего назначения. Внешний диаметр иглы </w:t>
      </w:r>
      <w:r>
        <w:rPr>
          <w:rStyle w:val="CharStyle14"/>
          <w:lang w:val="en-US" w:eastAsia="en-US"/>
        </w:rPr>
        <w:t xml:space="preserve">≥ 1.6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≤ 2 </w:t>
      </w:r>
      <w:r>
        <w:rPr>
          <w:rStyle w:val="CharStyle14"/>
        </w:rPr>
        <w:t xml:space="preserve">(Миллиметр). Игла в комплекте </w:t>
      </w:r>
      <w:r>
        <w:rPr>
          <w:rStyle w:val="CharStyle14"/>
          <w:lang w:val="en-US" w:eastAsia="en-US"/>
        </w:rPr>
        <w:t xml:space="preserve">≥1» - </w:t>
      </w:r>
      <w:r>
        <w:rPr>
          <w:rStyle w:val="CharStyle14"/>
        </w:rPr>
        <w:t xml:space="preserve">Участник закупки указывает в заявке конкретное значение характеристики В поданной структурированной заявке участник предлагает к поставке товар со следующей характеристикой: позиция.: </w:t>
      </w:r>
      <w:r>
        <w:rPr>
          <w:rStyle w:val="CharStyle14"/>
          <w:lang w:val="en-US" w:eastAsia="en-US"/>
        </w:rPr>
        <w:t xml:space="preserve">1. </w:t>
      </w:r>
      <w:r>
        <w:rPr>
          <w:rStyle w:val="CharStyle14"/>
        </w:rPr>
        <w:t xml:space="preserve">«Шприц общего назначения. Внешний диаметр иглы </w:t>
      </w:r>
      <w:r>
        <w:rPr>
          <w:rStyle w:val="CharStyle14"/>
          <w:lang w:val="en-US" w:eastAsia="en-US"/>
        </w:rPr>
        <w:t xml:space="preserve">1.6 </w:t>
      </w:r>
      <w:r>
        <w:rPr>
          <w:rStyle w:val="CharStyle14"/>
        </w:rPr>
        <w:t xml:space="preserve">(Миллиметр). Игла в комплекте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(2иглы: где 1ая игла 0.7х40мм, 2ая игла 1.6х40мм)», при этом указаны иглы производителя с РУ РЗН </w:t>
      </w:r>
      <w:r>
        <w:rPr>
          <w:rStyle w:val="CharStyle14"/>
          <w:lang w:val="en-US" w:eastAsia="en-US"/>
        </w:rPr>
        <w:t xml:space="preserve">2019/9203 </w:t>
      </w:r>
      <w:r>
        <w:rPr>
          <w:rStyle w:val="CharStyle14"/>
        </w:rPr>
        <w:t xml:space="preserve">(производитель: АО "Медполимер ЛТД"), тогда как производитель шприцов ООО "МЕДПРОМ БОБЕНИ ПРОДАКШЕН"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ФСР </w:t>
      </w:r>
      <w:r>
        <w:rPr>
          <w:rStyle w:val="CharStyle14"/>
          <w:lang w:val="en-US" w:eastAsia="en-US"/>
        </w:rPr>
        <w:t xml:space="preserve">2010/07710). </w:t>
      </w:r>
      <w:r>
        <w:rPr>
          <w:rStyle w:val="CharStyle14"/>
        </w:rPr>
        <w:t xml:space="preserve">Заявленный комплект фактически сформирован из изделий разных производителей из изделий, зарегистрированных в рамках различных регистрационных удостоверений, что не подтверждает поставку единого комплекта в понимании описания объекта закупки, таким образом заявка не соответствует описанию объекта закупки (несоответствие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44 </w:t>
      </w:r>
      <w:r>
        <w:rPr>
          <w:rStyle w:val="CharStyle14"/>
        </w:rPr>
        <w:t xml:space="preserve">ФЗ (пункт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48) </w:t>
      </w:r>
      <w:r>
        <w:rPr>
          <w:rStyle w:val="CharStyle14"/>
        </w:rPr>
        <w:t>требованиям, установленным в извещении об осуществлении закупки)».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разделяет позицию уполномоченного учреждения о несоответствии предложенного товара потребности заказчика (объекту закупки).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Фактически, заявителем предложен </w:t>
      </w:r>
      <w:r>
        <w:rPr>
          <w:rStyle w:val="CharStyle14"/>
          <w:u w:val="single"/>
        </w:rPr>
        <w:t>шприц в комплекте с иглой</w:t>
      </w:r>
      <w:r>
        <w:rPr>
          <w:rStyle w:val="CharStyle14"/>
        </w:rPr>
        <w:t xml:space="preserve"> 0.7х40мм (производства ООО «МЕДПРОМ БОБЕНИ ПРОДАКШЕН» по РУ №ФСР </w:t>
      </w:r>
      <w:r>
        <w:rPr>
          <w:rStyle w:val="CharStyle14"/>
          <w:lang w:val="en-US" w:eastAsia="en-US"/>
        </w:rPr>
        <w:t xml:space="preserve">2010/07710 </w:t>
      </w:r>
      <w:r>
        <w:rPr>
          <w:rStyle w:val="CharStyle14"/>
        </w:rPr>
        <w:t xml:space="preserve">«Шприцы инъекционные однократного применения в комплекте с иглой, иглами и без иглы, стерильные по ТУ </w:t>
      </w:r>
      <w:r>
        <w:rPr>
          <w:rStyle w:val="CharStyle14"/>
          <w:lang w:val="en-US" w:eastAsia="en-US"/>
        </w:rPr>
        <w:t xml:space="preserve">32.50.13-001- 96673695-2017» </w:t>
      </w:r>
      <w:r>
        <w:rPr>
          <w:rStyle w:val="CharStyle14"/>
        </w:rPr>
        <w:t xml:space="preserve">в исполнении «двухдетальный 2А "Луер" в комплекте с иглой инъекционной от </w:t>
      </w:r>
      <w:r>
        <w:rPr>
          <w:rStyle w:val="CharStyle14"/>
          <w:lang w:val="en-US" w:eastAsia="en-US"/>
        </w:rPr>
        <w:t xml:space="preserve">0,45x10 </w:t>
      </w:r>
      <w:r>
        <w:rPr>
          <w:rStyle w:val="CharStyle14"/>
        </w:rPr>
        <w:t xml:space="preserve">до </w:t>
      </w:r>
      <w:r>
        <w:rPr>
          <w:rStyle w:val="CharStyle14"/>
          <w:lang w:val="en-US" w:eastAsia="en-US"/>
        </w:rPr>
        <w:t xml:space="preserve">0,7x40»), </w:t>
      </w:r>
      <w:r>
        <w:rPr>
          <w:rStyle w:val="CharStyle14"/>
        </w:rPr>
        <w:t xml:space="preserve">а также отдельное </w:t>
      </w:r>
      <w:r>
        <w:rPr>
          <w:rStyle w:val="CharStyle14"/>
          <w:u w:val="single"/>
        </w:rPr>
        <w:t>медицинское изделие</w:t>
      </w:r>
      <w:r>
        <w:rPr>
          <w:rStyle w:val="CharStyle14"/>
        </w:rPr>
        <w:t xml:space="preserve"> производства АО "Медполимер ЛТД" (РУ РЗН </w:t>
      </w:r>
      <w:r>
        <w:rPr>
          <w:rStyle w:val="CharStyle14"/>
          <w:lang w:val="en-US" w:eastAsia="en-US"/>
        </w:rPr>
        <w:t xml:space="preserve">2019/9203 </w:t>
      </w:r>
      <w:r>
        <w:rPr>
          <w:rStyle w:val="CharStyle14"/>
        </w:rPr>
        <w:t xml:space="preserve">«Иглы инъекционные однократного применения "Луер" стерильные по ТУ </w:t>
      </w:r>
      <w:r>
        <w:rPr>
          <w:rStyle w:val="CharStyle14"/>
          <w:lang w:val="en-US" w:eastAsia="en-US"/>
        </w:rPr>
        <w:t xml:space="preserve">32.50.13-003-25597097-2017» </w:t>
      </w:r>
      <w:r>
        <w:rPr>
          <w:rStyle w:val="CharStyle14"/>
        </w:rPr>
        <w:t>в варианте исполнения «</w:t>
      </w:r>
      <w:r>
        <w:rPr>
          <w:rStyle w:val="CharStyle14"/>
          <w:u w:val="single"/>
        </w:rPr>
        <w:t>игла инъекционная</w:t>
      </w:r>
      <w:r>
        <w:rPr>
          <w:rStyle w:val="CharStyle14"/>
        </w:rPr>
        <w:t xml:space="preserve"> однократного применения «Луер» </w:t>
      </w:r>
      <w:r>
        <w:rPr>
          <w:rStyle w:val="CharStyle14"/>
          <w:lang w:val="en-US" w:eastAsia="en-US"/>
        </w:rPr>
        <w:t xml:space="preserve">1,6 </w:t>
      </w:r>
      <w:r>
        <w:rPr>
          <w:rStyle w:val="CharStyle14"/>
        </w:rPr>
        <w:t xml:space="preserve">х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 xml:space="preserve">мм </w:t>
      </w:r>
      <w:r>
        <w:rPr>
          <w:rStyle w:val="CharStyle14"/>
          <w:lang w:val="en-US" w:eastAsia="en-US"/>
        </w:rPr>
        <w:t xml:space="preserve">(16Gxl 1/2) </w:t>
      </w:r>
      <w:r>
        <w:rPr>
          <w:rStyle w:val="CharStyle14"/>
        </w:rPr>
        <w:t>стерильная»).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заявителем предлагается товар, у которого в комплектации шприца игла меньшего диаметра, чем требуется в описании объекта закупки, что прямо противоречит установленному в извещении требованию «</w:t>
      </w:r>
      <w:r>
        <w:rPr>
          <w:rStyle w:val="CharStyle14"/>
          <w:u w:val="single"/>
        </w:rPr>
        <w:t xml:space="preserve">к </w:t>
      </w:r>
      <w:r>
        <w:rPr>
          <w:rStyle w:val="CharStyle14"/>
          <w:b/>
          <w:bCs/>
          <w:u w:val="single"/>
        </w:rPr>
        <w:t>омплектация товара иглами меньшего диаметра и</w:t>
      </w:r>
      <w:r>
        <w:rPr>
          <w:rStyle w:val="CharStyle14"/>
          <w:b/>
          <w:bCs/>
        </w:rPr>
        <w:t xml:space="preserve"> </w:t>
      </w:r>
      <w:r>
        <w:rPr>
          <w:rStyle w:val="CharStyle14"/>
          <w:b/>
          <w:bCs/>
          <w:u w:val="single"/>
        </w:rPr>
        <w:t>длины не допускается» (</w:t>
      </w:r>
      <w:r>
        <w:rPr>
          <w:rStyle w:val="CharStyle14"/>
        </w:rPr>
        <w:t>ввиду невозможности их применения для вакцинации продуктивных животных, обладающих толстой кожей (например, КРС, северные олени, МРС и т.д.</w:t>
      </w:r>
      <w:r>
        <w:rPr>
          <w:rStyle w:val="CharStyle14"/>
          <w:b/>
          <w:bCs/>
          <w:u w:val="single"/>
        </w:rPr>
        <w:t>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Довод заявителя, что им предложена комплектация с иглами по РУ РЗН </w:t>
      </w:r>
      <w:r>
        <w:rPr>
          <w:rStyle w:val="CharStyle14"/>
          <w:lang w:val="en-US" w:eastAsia="en-US"/>
        </w:rPr>
        <w:t xml:space="preserve">2019/9203 </w:t>
      </w:r>
      <w:r>
        <w:rPr>
          <w:rStyle w:val="CharStyle14"/>
        </w:rPr>
        <w:t xml:space="preserve">не соответствует приведенному обществом определению термина «в комплекте», что «означает наличие всех необходимых предметов, деталей или аксессуаров, объединенных функционально </w:t>
      </w:r>
      <w:r>
        <w:rPr>
          <w:rStyle w:val="CharStyle14"/>
          <w:u w:val="single"/>
        </w:rPr>
        <w:t>и готовых к использованию вместе</w:t>
      </w:r>
      <w:r>
        <w:rPr>
          <w:rStyle w:val="CharStyle14"/>
        </w:rPr>
        <w:t xml:space="preserve">», т.к. не представляется возможным использование вместе шприца, укомплектованного несоответствующей потребности иглой, и ещё одной иглой. Так, для использования иглы </w:t>
      </w:r>
      <w:r>
        <w:rPr>
          <w:rStyle w:val="CharStyle14"/>
          <w:lang w:val="en-US" w:eastAsia="en-US"/>
        </w:rPr>
        <w:t xml:space="preserve">1,6 </w:t>
      </w:r>
      <w:r>
        <w:rPr>
          <w:rStyle w:val="CharStyle14"/>
        </w:rPr>
        <w:t xml:space="preserve">х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 xml:space="preserve">мм, заказчику фактически необходимо разукомплектовать предложенное медицинское изделие по РУ №ФСР </w:t>
      </w:r>
      <w:r>
        <w:rPr>
          <w:rStyle w:val="CharStyle14"/>
          <w:lang w:val="en-US" w:eastAsia="en-US"/>
        </w:rPr>
        <w:t xml:space="preserve">2010/07710, </w:t>
      </w:r>
      <w:r>
        <w:rPr>
          <w:rStyle w:val="CharStyle14"/>
        </w:rPr>
        <w:t>утилизировав нетребующуюся заказчику (что указано в описании объекта закупки) иглу, что в том числе ведет не только к увеличению трудозатрат медицинского персонала, но и расходов заказчика, связанных с утилизацией медицинских отходов учреждения.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на основании изложенного комиссия делает вывод, что действия комиссии уполномоченного учреждения по отклонению заявки общества, не соответствующей требованиям извещения о закупке, соответствуют требованиям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Прочие доводы, указанные заявителем, оценены Комиссией, однако они не влияют на вышеуказанные выводы.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26.08. 2013 №728 </w:t>
      </w:r>
      <w:r>
        <w:rPr>
          <w:rStyle w:val="CharStyle14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106, </w:t>
      </w: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системе,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Р Е Ш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rStyle w:val="CharStyle14"/>
          <w:lang w:val="en-US" w:eastAsia="en-US"/>
        </w:rPr>
        <w:t xml:space="preserve">1. </w:t>
      </w:r>
      <w:r>
        <w:rPr>
          <w:rStyle w:val="CharStyle14"/>
        </w:rPr>
        <w:t>Признать жалобу ООО «ТРЕЙД ЛАЙН»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52" w:right="451" w:bottom="1165" w:left="1019" w:header="624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71475" distL="0" distR="0" simplePos="0" relativeHeight="125829380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279400</wp:posOffset>
                </wp:positionV>
                <wp:extent cx="1569720" cy="21653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5pt;margin-top:22.pt;width:123.60000000000001pt;height:17.050000000000001pt;z-index:-125829373;mso-wrap-distance-left:0;mso-wrap-distance-top:2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6710" distB="0" distL="0" distR="1786255" simplePos="0" relativeHeight="125829382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346710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751840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5.45000000000002pt;margin-top:59.2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434975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2.30000000000001pt;margin-top:34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71475" distL="0" distR="0" simplePos="0" relativeHeight="125829383" behindDoc="0" locked="0" layoutInCell="1" allowOverlap="1">
                <wp:simplePos x="0" y="0"/>
                <wp:positionH relativeFrom="page">
                  <wp:posOffset>6381750</wp:posOffset>
                </wp:positionH>
                <wp:positionV relativeFrom="paragraph">
                  <wp:posOffset>279400</wp:posOffset>
                </wp:positionV>
                <wp:extent cx="804545" cy="21653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02.5pt;margin-top:22.pt;width:63.350000000000001pt;height:17.050000000000001pt;z-index:-125829370;mso-wrap-distance-left:0;mso-wrap-distance-top:2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Гонгов Микаил Багаудинович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13E8F22AFF76E7B299FFD431CF9C1CBD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Действителен с </w:t>
      </w:r>
      <w:r>
        <w:rPr>
          <w:rStyle w:val="CharStyle32"/>
          <w:color w:val="565656"/>
        </w:rPr>
        <w:t xml:space="preserve">26.12.2025 по </w:t>
      </w:r>
      <w:r>
        <w:rPr>
          <w:rStyle w:val="CharStyle32"/>
        </w:rPr>
        <w:t>21.03.2027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2623820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5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2.34999999999999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И.С. Китаева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</w:t>
      </w:r>
      <w:r>
        <w:rPr>
          <w:rStyle w:val="CharStyle32"/>
          <w:color w:val="565656"/>
        </w:rPr>
        <w:t xml:space="preserve">выдан: </w:t>
      </w:r>
      <w:r>
        <w:rPr>
          <w:rStyle w:val="CharStyle32"/>
          <w:color w:val="000000"/>
        </w:rPr>
        <w:t>Китаева Ирина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01751684E7A30CA5C69DFCDEA1CDE24C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6278245</wp:posOffset>
                </wp:positionH>
                <wp:positionV relativeFrom="paragraph">
                  <wp:posOffset>127000</wp:posOffset>
                </wp:positionV>
                <wp:extent cx="911225" cy="216535"/>
                <wp:wrapSquare wrapText="left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В.В. Еремина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94.35000000000002pt;margin-top:10.pt;width:71.75pt;height:17.05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В.В. Еремина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2"/>
        </w:rPr>
        <w:t xml:space="preserve">Действителен с 05.02.2026 </w:t>
      </w:r>
      <w:r>
        <w:rPr>
          <w:rStyle w:val="CharStyle32"/>
          <w:color w:val="565656"/>
        </w:rPr>
        <w:t>по 01.05.2027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37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7"/>
          <w:color w:val="FFFFFF"/>
          <w:sz w:val="12"/>
          <w:szCs w:val="12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Еремина Виктория Васильевна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00FA851B520C8FB74C321D2B</w:t>
      </w:r>
      <w:r>
        <w:rPr>
          <w:rStyle w:val="CharStyle32"/>
          <w:color w:val="292929"/>
        </w:rPr>
        <w:t>1</w:t>
      </w:r>
      <w:r>
        <w:rPr>
          <w:rStyle w:val="CharStyle32"/>
          <w:lang w:val="en-US" w:eastAsia="en-US"/>
        </w:rPr>
        <w:t>DBD7B</w:t>
      </w:r>
      <w:r>
        <w:rPr>
          <w:rStyle w:val="CharStyle32"/>
          <w:color w:val="292929"/>
        </w:rPr>
        <w:t>1</w:t>
      </w:r>
      <w:r>
        <w:rPr>
          <w:rStyle w:val="CharStyle32"/>
          <w:lang w:val="en-US" w:eastAsia="en-US"/>
        </w:rPr>
        <w:t>D7</w:t>
      </w:r>
      <w:r>
        <w:rPr>
          <w:rStyle w:val="CharStyle32"/>
          <w:lang w:val="en-US" w:eastAsia="en-US"/>
        </w:rPr>
        <w:t>S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Действителен с </w:t>
      </w:r>
      <w:r>
        <w:rPr>
          <w:rStyle w:val="CharStyle32"/>
          <w:color w:val="565656"/>
        </w:rPr>
        <w:t>05.02.2026 по 01.05.2027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10017760</wp:posOffset>
              </wp:positionV>
              <wp:extent cx="658495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2026-2623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649999999999999pt;margin-top:788.80000000000007pt;width:51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2026-2623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8495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2026-2623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70000000000005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2026-2623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10017760</wp:posOffset>
              </wp:positionV>
              <wp:extent cx="658495" cy="10985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2026-2623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649999999999999pt;margin-top:788.80000000000007pt;width:51.850000000000001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2026-2623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3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Table caption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Other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2">
    <w:name w:val="Body text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7">
    <w:name w:val="Body text (4)_"/>
    <w:basedOn w:val="DefaultParagraphFont"/>
    <w:link w:val="Style3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Table caption"/>
    <w:basedOn w:val="Normal"/>
    <w:link w:val="CharStyle24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Other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1">
    <w:name w:val="Body text (2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6">
    <w:name w:val="Body text (4)"/>
    <w:basedOn w:val="Normal"/>
    <w:link w:val="CharStyle37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