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ж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/>
        <w:ind w:left="0" w:right="0" w:firstLine="0"/>
        <w:jc w:val="center"/>
        <w:rPr>
          <w:sz w:val="17"/>
          <w:szCs w:val="17"/>
        </w:rPr>
      </w:pPr>
      <w:r>
        <w:rPr>
          <w:rStyle w:val="CharStyle8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1"/>
          <w:b/>
          <w:bCs/>
        </w:rPr>
        <w:t>УПРАВЛЕНИЕ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20"/>
        <w:ind w:left="0" w:right="0" w:firstLine="0"/>
        <w:jc w:val="center"/>
      </w:pPr>
      <w:r>
        <w:rPr>
          <w:rStyle w:val="CharStyle11"/>
          <w:b/>
          <w:bCs/>
        </w:rPr>
        <w:t>Федеральной антимонопольной службы</w:t>
        <w:br/>
        <w:t>по Белгородской области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305" w:lineRule="auto"/>
        <w:ind w:left="0" w:right="0" w:firstLine="0"/>
        <w:jc w:val="center"/>
      </w:pPr>
      <w:r>
        <w:rPr>
          <w:rStyle w:val="CharStyle8"/>
        </w:rPr>
        <w:t>ул. Преображенская, 82, г. Белгород, 308000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8"/>
        </w:rPr>
        <w:t>тел. / факс (4722) 32-16-92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8"/>
          <w:lang w:val="en-US" w:eastAsia="en-US"/>
        </w:rPr>
        <w:t xml:space="preserve">e-mail: </w:t>
      </w:r>
      <w:r>
        <w:fldChar w:fldCharType="begin"/>
      </w:r>
      <w:r>
        <w:rPr/>
        <w:instrText> HYPERLINK "mailto:to31@fas.gov.ru" </w:instrText>
      </w:r>
      <w:r>
        <w:fldChar w:fldCharType="separate"/>
      </w:r>
      <w:r>
        <w:rPr>
          <w:rStyle w:val="CharStyle8"/>
          <w:lang w:val="en-US" w:eastAsia="en-US"/>
        </w:rPr>
        <w:t>to31@fas.gov.ru</w:t>
      </w:r>
      <w:r>
        <w:fldChar w:fldCharType="end"/>
      </w:r>
    </w:p>
    <w:p>
      <w:pPr>
        <w:pStyle w:val="Style12"/>
        <w:keepNext/>
        <w:keepLines/>
        <w:widowControl w:val="0"/>
        <w:shd w:val="clear" w:color="auto" w:fill="auto"/>
        <w:tabs>
          <w:tab w:pos="1810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3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3"/>
        </w:rPr>
        <w:t>8.05.2026</w:t>
        <w:tab/>
      </w:r>
      <w:r>
        <w:fldChar w:fldCharType="end"/>
      </w:r>
      <w:r>
        <w:rPr>
          <w:rStyle w:val="CharStyle13"/>
        </w:rPr>
        <w:t xml:space="preserve">№ </w:t>
      </w:r>
      <w:r>
        <w:rPr>
          <w:rStyle w:val="CharStyle13"/>
          <w:u w:val="single"/>
        </w:rPr>
        <w:t>МЛ</w:t>
      </w:r>
      <w:r>
        <w:rPr>
          <w:rStyle w:val="CharStyle13"/>
        </w:rPr>
        <w:t>/</w:t>
      </w:r>
      <w:r>
        <w:rPr>
          <w:rStyle w:val="CharStyle13"/>
          <w:u w:val="single"/>
        </w:rPr>
        <w:t>1267/2</w:t>
      </w:r>
      <w:r>
        <w:rPr>
          <w:rStyle w:val="CharStyle13"/>
        </w:rPr>
        <w:t>6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center"/>
        <w:rPr>
          <w:sz w:val="18"/>
          <w:szCs w:val="18"/>
        </w:rPr>
      </w:pPr>
      <w:r>
        <w:rPr>
          <w:rStyle w:val="CharStyle11"/>
          <w:sz w:val="18"/>
          <w:szCs w:val="18"/>
        </w:rPr>
        <w:t xml:space="preserve">На №  от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ООО «РУСМЕД»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614025, г. Пермь, ул. Героев Хасана, д. 76, офис 205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fldChar w:fldCharType="begin"/>
      </w:r>
      <w:r>
        <w:rPr/>
        <w:instrText> HYPERLINK "mailto:rus@nikofarmperm.ru" </w:instrText>
      </w:r>
      <w:r>
        <w:fldChar w:fldCharType="separate"/>
      </w:r>
      <w:r>
        <w:rPr>
          <w:rStyle w:val="CharStyle17"/>
          <w:lang w:val="en-US" w:eastAsia="en-US"/>
        </w:rPr>
        <w:t>rus@nikofarmperm.ru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ОГБУЗ «Белгородская областная клиническая больница Святителя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Иоасафа»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7"/>
        </w:rPr>
        <w:t xml:space="preserve">308007, г. Белгород, ул. Некрасова, д. 8/9 </w:t>
      </w:r>
      <w:r>
        <w:fldChar w:fldCharType="begin"/>
      </w:r>
      <w:r>
        <w:rPr/>
        <w:instrText> HYPERLINK "mailto:belokb@bokb.ru" </w:instrText>
      </w:r>
      <w:r>
        <w:fldChar w:fldCharType="separate"/>
      </w:r>
      <w:r>
        <w:rPr>
          <w:rStyle w:val="CharStyle17"/>
          <w:lang w:val="en-US" w:eastAsia="en-US"/>
        </w:rPr>
        <w:t>belokb@bokb.ru</w:t>
      </w:r>
      <w:r>
        <w:fldChar w:fldCharType="end"/>
      </w:r>
      <w:r>
        <w:rPr>
          <w:rStyle w:val="CharStyle17"/>
          <w:lang w:val="en-US" w:eastAsia="en-US"/>
        </w:rPr>
        <w:t xml:space="preserve">, </w:t>
      </w:r>
      <w:r>
        <w:fldChar w:fldCharType="begin"/>
      </w:r>
      <w:r>
        <w:rPr/>
        <w:instrText> HYPERLINK "mailto:torgi@bokb.ru" </w:instrText>
      </w:r>
      <w:r>
        <w:fldChar w:fldCharType="separate"/>
      </w:r>
      <w:r>
        <w:rPr>
          <w:rStyle w:val="CharStyle17"/>
          <w:lang w:val="en-US" w:eastAsia="en-US"/>
        </w:rPr>
        <w:t>torgi@bokb.ru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ОГКУ «Центр закупок»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308009, г. Белгород, Белгородский пр-т, д.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85А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fldChar w:fldCharType="begin"/>
      </w:r>
      <w:r>
        <w:rPr/>
        <w:instrText> HYPERLINK "mailto:zakupki3@belregion.ru" </w:instrText>
      </w:r>
      <w:r>
        <w:fldChar w:fldCharType="separate"/>
      </w:r>
      <w:r>
        <w:rPr>
          <w:rStyle w:val="CharStyle17"/>
          <w:lang w:val="en-US" w:eastAsia="en-US"/>
        </w:rPr>
        <w:t>zakupki3@belregion.ru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ООО «РТС-тендер»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121151, г. Москва, набережная Тараса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7"/>
        </w:rPr>
        <w:t xml:space="preserve">Шевченко, д. 23-А, 25 этаж, помещение 1 </w:t>
      </w: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17"/>
          <w:lang w:val="en-US" w:eastAsia="en-US"/>
        </w:rPr>
        <w:t>ko@rts-tender.ru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5"/>
          <w:footerReference w:type="default" r:id="rId6"/>
          <w:headerReference w:type="firs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58" w:right="786" w:bottom="1312" w:left="1135" w:header="0" w:footer="3" w:gutter="0"/>
          <w:pgNumType w:start="1"/>
          <w:cols w:num="2" w:space="720" w:equalWidth="0">
            <w:col w:w="4267" w:space="998"/>
            <w:col w:w="4714"/>
          </w:cols>
          <w:noEndnote/>
          <w:titlePg/>
          <w:rtlGutter w:val="0"/>
          <w:docGrid w:linePitch="360"/>
        </w:sectPr>
      </w:pPr>
      <w:r>
        <w:rPr>
          <w:rStyle w:val="CharStyle17"/>
        </w:rPr>
        <w:t>Дело № 031/06/105-200/2026</w:t>
      </w:r>
    </w:p>
    <w:p>
      <w:pPr>
        <w:widowControl w:val="0"/>
        <w:spacing w:line="152" w:lineRule="exact"/>
        <w:rPr>
          <w:sz w:val="12"/>
          <w:szCs w:val="12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58" w:right="0" w:bottom="81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7"/>
          <w:b/>
          <w:bCs/>
        </w:rPr>
        <w:t>Р Е Ш Е Н И Е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6371590</wp:posOffset>
                </wp:positionH>
                <wp:positionV relativeFrom="paragraph">
                  <wp:posOffset>12700</wp:posOffset>
                </wp:positionV>
                <wp:extent cx="801370" cy="23495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0137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7"/>
                              </w:rPr>
                              <w:t>г. Белгород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01.69999999999999pt;margin-top:1.pt;width:63.100000000000001pt;height:18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7"/>
                        </w:rPr>
                        <w:t>г. Белгород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7"/>
        </w:rPr>
        <w:t>13 мая 2026 года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7"/>
        </w:rPr>
        <w:t>Комиссия Белгородского УФАС России по контролю в сфере закупок, созданная в соответствии с приказом Белгородского УФАС России от 04.09.2025 № 202/25 «Об утверждении состава комиссии по контролю в сфере закупок» (далее – Комиссия), в составе: председатель Комиссии – заместитель руководителя управления – начальник отдела контроля закупок Белгородского УФАС России – Лебедев М.А.; члены Комиссии: Плехова Н.В. – ведущий специалист-эксперт отдела контроля закупок Белгородского УФАС России, Воронина А.А. – ведущий специалист-эксперт отдела контроля закупок Белгородского УФАС России, при участии представителей: заказчика – ОГБУЗ «Белгородская областная клиническая больница Святителя Иоасафа» (далее также – Заказчик) – Аксеновой Е.Ф. (по доверенности от 12.01.2026 № 1), уполномоченного органа – ОГКУ «Центр закупок» (далее также – Уполномоченный орган) – Мухортова Н.К. (по доверенности от 29.12.2025 № Ц31-06-722), в отсутствие представителей заявителя – ООО «РУСМЕД», надлежащим образом уведомленного о дате, месте и времени рассмотрения дела, рассмотрев жалобу ООО «РУСМЕД» на положения извещения о проведении электронного аукциона «Поставка медицинских изделий Наконечник пипетки на 2027 г.» (извещение № 0826500000926001218, далее – Электронный аукцион , проведя внеплановую проверку в соответствии с пунктом 1 части 15 статьи 99 Федерального закона от 05.04.2013 № 44-ФЗ «О контрактной системе в сфере закупок товаров, работ, услуг для</w:t>
      </w:r>
    </w:p>
    <w:p>
      <w:pPr>
        <w:widowControl w:val="0"/>
        <w:spacing w:line="1" w:lineRule="exact"/>
      </w:pPr>
      <w:r>
        <w:drawing>
          <wp:anchor distT="12700" distB="0" distL="0" distR="0" simplePos="0" relativeHeight="125829380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12700</wp:posOffset>
            </wp:positionV>
            <wp:extent cx="1511935" cy="29273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7"/>
        </w:rPr>
        <w:t xml:space="preserve">обеспечения государственных и муниципальных нужд» (далее </w:t>
      </w:r>
      <w:r>
        <w:rPr>
          <w:rStyle w:val="CharStyle17"/>
          <w:lang w:val="en-US" w:eastAsia="en-US"/>
        </w:rPr>
        <w:t xml:space="preserve">– </w:t>
      </w:r>
      <w:r>
        <w:rPr>
          <w:rStyle w:val="CharStyle17"/>
        </w:rPr>
        <w:t>Закон о контрактной системе),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7"/>
        </w:rPr>
        <w:t>УСТАНОВИЛА: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В Белгородское УФАС России поступила жалоба ООО «РУСМЕД» на положения извещения о проведении Электронного аукциона.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Из жалобы следует, что извещение о проведении Электронного аукциона не соответствует требованиям Закона о контрактной системе, а именно: в техническом задании Заказчик указывает следующие характеристики: рабочий диапазон объема, мкл: </w:t>
      </w:r>
      <w:r>
        <w:rPr>
          <w:rStyle w:val="CharStyle17"/>
          <w:lang w:val="en-US" w:eastAsia="en-US"/>
        </w:rPr>
        <w:t xml:space="preserve">≥ 0.2 </w:t>
      </w:r>
      <w:r>
        <w:rPr>
          <w:rStyle w:val="CharStyle17"/>
        </w:rPr>
        <w:t xml:space="preserve">и </w:t>
      </w:r>
      <w:r>
        <w:rPr>
          <w:rStyle w:val="CharStyle17"/>
          <w:lang w:val="en-US" w:eastAsia="en-US"/>
        </w:rPr>
        <w:t xml:space="preserve">≤ 5, </w:t>
      </w:r>
      <w:r>
        <w:rPr>
          <w:rStyle w:val="CharStyle17"/>
        </w:rPr>
        <w:t xml:space="preserve">тогда как наконечники выпускаются объемом от </w:t>
      </w:r>
      <w:r>
        <w:rPr>
          <w:rStyle w:val="CharStyle17"/>
          <w:lang w:val="en-US" w:eastAsia="en-US"/>
        </w:rPr>
        <w:t xml:space="preserve">10 </w:t>
      </w:r>
      <w:r>
        <w:rPr>
          <w:rStyle w:val="CharStyle17"/>
        </w:rPr>
        <w:t>мкл, в связи с чем не представляется возможным принять участие в Электронном аукционе и предложить товар, который удовлетворяет требованиям Заказчика.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Заказчик и Уполномоченный орган представили письменные возражения на жалобу, из которых следует, что положения извещения о проведении Электронного аукциона не противоречат нормам Закона о контрактной системе.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В ходе заседания Комиссии представители Заказчика, Уполномоченного органа поддержали позицию, изложенную в представленных возражениях на жалобу ООО «РУСМЕД», считают жалобу необоснованной.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Комиссия, рассмотрев жалобу ООО «РУСМЕД», возражения Заказчика, Уполномоченного органа, представленные документы и сведения, заслушав доводы участвующих лиц, установила следующее.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На официальном сайте единой информационной системы в сфере закупок 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17"/>
          <w:lang w:val="en-US" w:eastAsia="en-US"/>
        </w:rPr>
        <w:t>www.zakupki.gov.ru</w:t>
      </w:r>
      <w:r>
        <w:fldChar w:fldCharType="end"/>
      </w:r>
      <w:r>
        <w:rPr>
          <w:rStyle w:val="CharStyle17"/>
          <w:lang w:val="en-US" w:eastAsia="en-US"/>
        </w:rPr>
        <w:t xml:space="preserve"> </w:t>
      </w:r>
      <w:r>
        <w:rPr>
          <w:rStyle w:val="CharStyle17"/>
        </w:rPr>
        <w:t xml:space="preserve">(далее </w:t>
      </w:r>
      <w:r>
        <w:rPr>
          <w:rStyle w:val="CharStyle17"/>
          <w:lang w:val="en-US" w:eastAsia="en-US"/>
        </w:rPr>
        <w:t xml:space="preserve">– </w:t>
      </w:r>
      <w:r>
        <w:rPr>
          <w:rStyle w:val="CharStyle17"/>
        </w:rPr>
        <w:t xml:space="preserve">ЕИС) </w:t>
      </w:r>
      <w:r>
        <w:rPr>
          <w:rStyle w:val="CharStyle17"/>
          <w:lang w:val="en-US" w:eastAsia="en-US"/>
        </w:rPr>
        <w:t xml:space="preserve">28.04.2026 </w:t>
      </w:r>
      <w:r>
        <w:rPr>
          <w:rStyle w:val="CharStyle17"/>
        </w:rPr>
        <w:t>было размещено извещение о проведении Электронного аукциона.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Объект закупки </w:t>
      </w:r>
      <w:r>
        <w:rPr>
          <w:rStyle w:val="CharStyle17"/>
          <w:lang w:val="en-US" w:eastAsia="en-US"/>
        </w:rPr>
        <w:t xml:space="preserve">– </w:t>
      </w:r>
      <w:r>
        <w:rPr>
          <w:rStyle w:val="CharStyle17"/>
        </w:rPr>
        <w:t xml:space="preserve">поставка медицинских изделий Наконечник пипетки на </w:t>
      </w:r>
      <w:r>
        <w:rPr>
          <w:rStyle w:val="CharStyle17"/>
          <w:lang w:val="en-US" w:eastAsia="en-US"/>
        </w:rPr>
        <w:t xml:space="preserve">2027 </w:t>
      </w:r>
      <w:r>
        <w:rPr>
          <w:rStyle w:val="CharStyle17"/>
        </w:rPr>
        <w:t>г</w:t>
      </w:r>
      <w:r>
        <w:rPr>
          <w:rStyle w:val="CharStyle17"/>
          <w:lang w:val="en-US" w:eastAsia="en-US"/>
        </w:rPr>
        <w:t>..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Начальная (максимальная) цена контракта </w:t>
      </w:r>
      <w:r>
        <w:rPr>
          <w:rStyle w:val="CharStyle17"/>
          <w:lang w:val="en-US" w:eastAsia="en-US"/>
        </w:rPr>
        <w:t xml:space="preserve">– 564 696 </w:t>
      </w:r>
      <w:r>
        <w:rPr>
          <w:rStyle w:val="CharStyle17"/>
        </w:rPr>
        <w:t xml:space="preserve">рублей </w:t>
      </w:r>
      <w:r>
        <w:rPr>
          <w:rStyle w:val="CharStyle17"/>
          <w:lang w:val="en-US" w:eastAsia="en-US"/>
        </w:rPr>
        <w:t xml:space="preserve">00 </w:t>
      </w:r>
      <w:r>
        <w:rPr>
          <w:rStyle w:val="CharStyle17"/>
        </w:rPr>
        <w:t>копеек.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Согласно части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49 </w:t>
      </w:r>
      <w:r>
        <w:rPr>
          <w:rStyle w:val="CharStyle17"/>
        </w:rPr>
        <w:t>Закона о контрактной системе электронный аукцион начинается с размещения в единой информационной системе извещения об осуществлении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В силу пункта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42 </w:t>
      </w:r>
      <w:r>
        <w:rPr>
          <w:rStyle w:val="CharStyle17"/>
        </w:rPr>
        <w:t xml:space="preserve">Закона о контрактной системе извещение об осуществлении закупки, если иное не предусмотрено настоящим Федеральным законом, должно содержать электронный документ, отражающий описание объекта закупки в соответствии со статьей </w:t>
      </w:r>
      <w:r>
        <w:rPr>
          <w:rStyle w:val="CharStyle17"/>
          <w:lang w:val="en-US" w:eastAsia="en-US"/>
        </w:rPr>
        <w:t xml:space="preserve">33 </w:t>
      </w:r>
      <w:r>
        <w:rPr>
          <w:rStyle w:val="CharStyle17"/>
        </w:rPr>
        <w:t>Закона о контрактной системе.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Согласно пункту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33 </w:t>
      </w:r>
      <w:r>
        <w:rPr>
          <w:rStyle w:val="CharStyle17"/>
        </w:rPr>
        <w:t>Закона о контрактной системе,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В соответствии с частью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33 </w:t>
      </w:r>
      <w:r>
        <w:rPr>
          <w:rStyle w:val="CharStyle17"/>
        </w:rPr>
        <w:t xml:space="preserve">Закона о контрактной системе описание объекта закупки в соответствии с требованиями, указанными в части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>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Таким образом, исходя из смысла статьи </w:t>
      </w:r>
      <w:r>
        <w:rPr>
          <w:rStyle w:val="CharStyle17"/>
          <w:lang w:val="en-US" w:eastAsia="en-US"/>
        </w:rPr>
        <w:t xml:space="preserve">33 </w:t>
      </w:r>
      <w:r>
        <w:rPr>
          <w:rStyle w:val="CharStyle17"/>
        </w:rPr>
        <w:t>Закона о контрактной системе, при формировании технического задания заказчику предоставлены полномочия по самостоятельному определению специфики параметров и характеристик товара в наибольшей степени удовлетворяющих его потребности.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Вместе с тем, установленные заказчиком требования к характеристикам товара не должны ограничивать количество участников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Согласно пункту </w:t>
      </w:r>
      <w:r>
        <w:rPr>
          <w:rStyle w:val="CharStyle17"/>
          <w:lang w:val="en-US" w:eastAsia="en-US"/>
        </w:rPr>
        <w:t xml:space="preserve">5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42 </w:t>
      </w:r>
      <w:r>
        <w:rPr>
          <w:rStyle w:val="CharStyle17"/>
        </w:rPr>
        <w:t xml:space="preserve">Закона о контрактной системе,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</w:t>
      </w:r>
      <w:r>
        <w:rPr>
          <w:rStyle w:val="CharStyle17"/>
          <w:lang w:val="en-US" w:eastAsia="en-US"/>
        </w:rPr>
        <w:t xml:space="preserve">6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23 </w:t>
      </w:r>
      <w:r>
        <w:rPr>
          <w:rStyle w:val="CharStyle17"/>
        </w:rPr>
        <w:t>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В силу части </w:t>
      </w:r>
      <w:r>
        <w:rPr>
          <w:rStyle w:val="CharStyle17"/>
          <w:lang w:val="en-US" w:eastAsia="en-US"/>
        </w:rPr>
        <w:t xml:space="preserve">6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23 </w:t>
      </w:r>
      <w:r>
        <w:rPr>
          <w:rStyle w:val="CharStyle17"/>
        </w:rPr>
        <w:t>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</w:t>
      </w:r>
      <w:r>
        <w:rPr>
          <w:rStyle w:val="CharStyle17"/>
          <w:lang w:val="en-US" w:eastAsia="en-US"/>
        </w:rPr>
        <w:t xml:space="preserve">– </w:t>
      </w:r>
      <w:r>
        <w:rPr>
          <w:rStyle w:val="CharStyle17"/>
        </w:rPr>
        <w:t xml:space="preserve">Правила формирования КТРУ) и Правила использования каталога товаров, работ, услуг для обеспечения государственных и муниципальных нужд (далее </w:t>
      </w:r>
      <w:r>
        <w:rPr>
          <w:rStyle w:val="CharStyle17"/>
          <w:lang w:val="en-US" w:eastAsia="en-US"/>
        </w:rPr>
        <w:t xml:space="preserve">– </w:t>
      </w:r>
      <w:r>
        <w:rPr>
          <w:rStyle w:val="CharStyle17"/>
        </w:rPr>
        <w:t xml:space="preserve">Правила использования КТРУ) утверждены постановлением Правительства РФ от </w:t>
      </w:r>
      <w:r>
        <w:rPr>
          <w:rStyle w:val="CharStyle17"/>
          <w:lang w:val="en-US" w:eastAsia="en-US"/>
        </w:rPr>
        <w:t xml:space="preserve">08.02.2017 № 145 </w:t>
      </w:r>
      <w:r>
        <w:rPr>
          <w:rStyle w:val="CharStyle17"/>
        </w:rPr>
        <w:t xml:space="preserve">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</w:t>
      </w:r>
      <w:r>
        <w:rPr>
          <w:rStyle w:val="CharStyle17"/>
          <w:lang w:val="en-US" w:eastAsia="en-US"/>
        </w:rPr>
        <w:t xml:space="preserve">– </w:t>
      </w:r>
      <w:r>
        <w:rPr>
          <w:rStyle w:val="CharStyle17"/>
        </w:rPr>
        <w:t xml:space="preserve">Постановление </w:t>
      </w:r>
      <w:r>
        <w:rPr>
          <w:rStyle w:val="CharStyle17"/>
          <w:lang w:val="en-US" w:eastAsia="en-US"/>
        </w:rPr>
        <w:t>№ 145).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Согласно подпункту «б» пункта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>Правил использования КТРУ каталог товаров работ и услуг используется заказчиками в целях описания объектов закупки, которое включается в извещение об осуществлении закупки, приглашение и документацию о закупке (в случае если Законом о закупках предусмотрена документация о закупке).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В силу пункта </w:t>
      </w:r>
      <w:r>
        <w:rPr>
          <w:rStyle w:val="CharStyle17"/>
          <w:lang w:val="en-US" w:eastAsia="en-US"/>
        </w:rPr>
        <w:t xml:space="preserve">4 </w:t>
      </w:r>
      <w:r>
        <w:rPr>
          <w:rStyle w:val="CharStyle17"/>
        </w:rPr>
        <w:t xml:space="preserve">Правил использования КТРУ, заказчики обязаны применять информацию, включенную в позицию каталога в соответствии с подпунктами «б»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 xml:space="preserve">«г» и «е»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 xml:space="preserve">«з» пункта </w:t>
      </w:r>
      <w:r>
        <w:rPr>
          <w:rStyle w:val="CharStyle17"/>
          <w:lang w:val="en-US" w:eastAsia="en-US"/>
        </w:rPr>
        <w:t xml:space="preserve">10 </w:t>
      </w:r>
      <w:r>
        <w:rPr>
          <w:rStyle w:val="CharStyle17"/>
        </w:rPr>
        <w:t>Правил формирования КТРУ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наименование товара, работы, услуги;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описание товара, работы, услуги (при наличии такого описания в позиции).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В соответствии с положениями структурированной формы извещения о проведении оспариваемой закупки к поставке требуется «Наконечник пипетки» по позиции КТРУ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7"/>
          <w:lang w:val="en-US" w:eastAsia="en-US"/>
        </w:rPr>
        <w:t>32.50.13.190-00008535.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Обязательное применение указанной позиции КТРУ начинается с </w:t>
      </w:r>
      <w:r>
        <w:rPr>
          <w:rStyle w:val="CharStyle17"/>
          <w:lang w:val="en-US" w:eastAsia="en-US"/>
        </w:rPr>
        <w:t>12.03.2026.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Комиссией установлено, что характеристика «Рабочий диапазон объема </w:t>
      </w:r>
      <w:r>
        <w:rPr>
          <w:rStyle w:val="CharStyle17"/>
          <w:lang w:val="en-US" w:eastAsia="en-US"/>
        </w:rPr>
        <w:t xml:space="preserve">≥ 0.2 </w:t>
      </w:r>
      <w:r>
        <w:rPr>
          <w:rStyle w:val="CharStyle17"/>
        </w:rPr>
        <w:t xml:space="preserve">и </w:t>
      </w:r>
      <w:r>
        <w:rPr>
          <w:rStyle w:val="CharStyle17"/>
          <w:lang w:val="en-US" w:eastAsia="en-US"/>
        </w:rPr>
        <w:t xml:space="preserve">≤ 5 </w:t>
      </w:r>
      <w:r>
        <w:rPr>
          <w:rStyle w:val="CharStyle17"/>
        </w:rPr>
        <w:t xml:space="preserve">мкл» включена в позицию КТРУ </w:t>
      </w:r>
      <w:r>
        <w:rPr>
          <w:rStyle w:val="CharStyle17"/>
          <w:lang w:val="en-US" w:eastAsia="en-US"/>
        </w:rPr>
        <w:t xml:space="preserve">32.50.13.190-00008535 </w:t>
      </w:r>
      <w:r>
        <w:rPr>
          <w:rStyle w:val="CharStyle17"/>
        </w:rPr>
        <w:t>и является обязательной для применения.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Подпунктом «г» пункта </w:t>
      </w:r>
      <w:r>
        <w:rPr>
          <w:rStyle w:val="CharStyle17"/>
          <w:lang w:val="en-US" w:eastAsia="en-US"/>
        </w:rPr>
        <w:t xml:space="preserve">10 </w:t>
      </w:r>
      <w:r>
        <w:rPr>
          <w:rStyle w:val="CharStyle17"/>
        </w:rPr>
        <w:t xml:space="preserve">Постановления </w:t>
      </w:r>
      <w:r>
        <w:rPr>
          <w:rStyle w:val="CharStyle17"/>
          <w:lang w:val="en-US" w:eastAsia="en-US"/>
        </w:rPr>
        <w:t xml:space="preserve">№ 145 </w:t>
      </w:r>
      <w:r>
        <w:rPr>
          <w:rStyle w:val="CharStyle17"/>
        </w:rPr>
        <w:t xml:space="preserve">определено, что в позицию каталога включается информация, содержащая описание товара, работы, услуги, если такое описание сформировано в соответствии с пунктом </w:t>
      </w:r>
      <w:r>
        <w:rPr>
          <w:rStyle w:val="CharStyle17"/>
          <w:lang w:val="en-US" w:eastAsia="en-US"/>
        </w:rPr>
        <w:t xml:space="preserve">13 </w:t>
      </w:r>
      <w:r>
        <w:rPr>
          <w:rStyle w:val="CharStyle17"/>
        </w:rPr>
        <w:t>настоящих Правил.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Согласно пункту </w:t>
      </w:r>
      <w:r>
        <w:rPr>
          <w:rStyle w:val="CharStyle17"/>
          <w:lang w:val="en-US" w:eastAsia="en-US"/>
        </w:rPr>
        <w:t xml:space="preserve">15 </w:t>
      </w:r>
      <w:r>
        <w:rPr>
          <w:rStyle w:val="CharStyle17"/>
        </w:rPr>
        <w:t xml:space="preserve">Постановления </w:t>
      </w:r>
      <w:r>
        <w:rPr>
          <w:rStyle w:val="CharStyle17"/>
          <w:lang w:val="en-US" w:eastAsia="en-US"/>
        </w:rPr>
        <w:t xml:space="preserve">№ 145 </w:t>
      </w:r>
      <w:r>
        <w:rPr>
          <w:rStyle w:val="CharStyle17"/>
        </w:rPr>
        <w:t xml:space="preserve">информация, указанная в пункте </w:t>
      </w:r>
      <w:r>
        <w:rPr>
          <w:rStyle w:val="CharStyle17"/>
          <w:lang w:val="en-US" w:eastAsia="en-US"/>
        </w:rPr>
        <w:t xml:space="preserve">10 </w:t>
      </w:r>
      <w:r>
        <w:rPr>
          <w:rStyle w:val="CharStyle17"/>
        </w:rPr>
        <w:t>настоящих Правил, в том числе до ее включения в позицию каталога, рассматривается на заседании экспертного совета по формированию и ведению каталога товаров, работ, услуг для обеспечения государственных и муниципальных нужд при уполномоченном органе.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Положение об экспертном совете по формированию и ведению каталога товаров, работ, услуг для обеспечения государственных и муниципальных нужд и его состав утверждаются уполномоченным органом.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Таким образом, в соответствии с Постановлением </w:t>
      </w:r>
      <w:r>
        <w:rPr>
          <w:rStyle w:val="CharStyle17"/>
          <w:lang w:val="en-US" w:eastAsia="en-US"/>
        </w:rPr>
        <w:t xml:space="preserve">№ 145 </w:t>
      </w:r>
      <w:r>
        <w:rPr>
          <w:rStyle w:val="CharStyle17"/>
        </w:rPr>
        <w:t>при составлении КТРУ именно экспертный совет при уполномоченном органе определяет какие из характеристик для описания закупаемого товара являются важными и значимыми для заказчиков, позволяющими полно описать закупаемый товар и при этом не приводят к ограничению количества участников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Таким образом, в данном случае Заказчик был обязан применять информацию, включенную в позицию КТРУ </w:t>
      </w:r>
      <w:r>
        <w:rPr>
          <w:rStyle w:val="CharStyle17"/>
          <w:lang w:val="en-US" w:eastAsia="en-US"/>
        </w:rPr>
        <w:t>32.50.13.190-00008535.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Также в ходе заседания Комиссии представитель Заказчика сообщил, что Заказчиком получено </w:t>
      </w:r>
      <w:r>
        <w:rPr>
          <w:rStyle w:val="CharStyle17"/>
          <w:lang w:val="en-US" w:eastAsia="en-US"/>
        </w:rPr>
        <w:t xml:space="preserve">3 </w:t>
      </w:r>
      <w:r>
        <w:rPr>
          <w:rStyle w:val="CharStyle17"/>
        </w:rPr>
        <w:t xml:space="preserve">(три) ценовые информации о товаре, соответствующем требованиям извещения о проведении Электронного аукциона: «Изделия медицинского назначения для иммунологический исследований: микронаконечники на дозатор объем от </w:t>
      </w:r>
      <w:r>
        <w:rPr>
          <w:rStyle w:val="CharStyle17"/>
          <w:lang w:val="en-US" w:eastAsia="en-US"/>
        </w:rPr>
        <w:t xml:space="preserve">0,2 </w:t>
      </w:r>
      <w:r>
        <w:rPr>
          <w:rStyle w:val="CharStyle17"/>
        </w:rPr>
        <w:t xml:space="preserve">до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 xml:space="preserve">мкл, США, ФСЗ </w:t>
      </w:r>
      <w:r>
        <w:rPr>
          <w:rStyle w:val="CharStyle17"/>
          <w:lang w:val="en-US" w:eastAsia="en-US"/>
        </w:rPr>
        <w:t xml:space="preserve">2008/02319 </w:t>
      </w:r>
      <w:r>
        <w:rPr>
          <w:rStyle w:val="CharStyle17"/>
        </w:rPr>
        <w:t xml:space="preserve">от </w:t>
      </w:r>
      <w:r>
        <w:rPr>
          <w:rStyle w:val="CharStyle17"/>
          <w:lang w:val="en-US" w:eastAsia="en-US"/>
        </w:rPr>
        <w:t>22.07.2008».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Комиссия отмечает, что предметом Электронного аукциона является поставка, а не производство (изготовление) товара. Поставщиком может выступить любое физическое или юридическое лицо, готовое поставить продукцию, отвечающую требованиям извещения о закупке и удовлетворяющее потребности Заказчика.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Любой участник закупки вправе приобрести товар, соответствующий требованиям, изложенным в техническом задании и принять участие в аукционе путем предложения его к поставке. Неспособность или нежелание участника закупки предложить необходимый заказчику товар не может являться препятствием к обеспечению его нужд. Более того требования законодательства не устанавливают обязанность Заказчика предусмотреть возможность участия в процедуре закупки всех участников рынка.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Объектом настоящей закупки выступает товар, который свободно представлен на рынке. Любой потенциальный участник закупки выступает в гражданском обороте в соответствии со статьей </w:t>
      </w:r>
      <w:r>
        <w:rPr>
          <w:rStyle w:val="CharStyle17"/>
          <w:lang w:val="en-US" w:eastAsia="en-US"/>
        </w:rPr>
        <w:t xml:space="preserve">506 </w:t>
      </w:r>
      <w:r>
        <w:rPr>
          <w:rStyle w:val="CharStyle17"/>
        </w:rPr>
        <w:t xml:space="preserve">Гражданского Кодекса Российской Федерации как поставщик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>продавец, приобретающий товары для заказчика в целях их использования в предпринимательской деятельности или в иных целях, не связанных с личным, семейным, домашним и иным подобным использованием. То есть такой участник не ограничен в выборе контрагентов, у которых он может приобретать товары, в том числе по характеристикам, необходимым заказчику. Отсутствие у потенциального участника закупки товара в соответствии с условиями документации не свидетельствует о том, что заказчик ограничил</w:t>
      </w:r>
      <w:r>
        <w:br w:type="page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число участников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На основании изложенного, руководствуясь статьями </w:t>
      </w:r>
      <w:r>
        <w:rPr>
          <w:rStyle w:val="CharStyle17"/>
          <w:lang w:val="en-US" w:eastAsia="en-US"/>
        </w:rPr>
        <w:t xml:space="preserve">99 </w:t>
      </w:r>
      <w:r>
        <w:rPr>
          <w:rStyle w:val="CharStyle17"/>
        </w:rPr>
        <w:t xml:space="preserve">и </w:t>
      </w:r>
      <w:r>
        <w:rPr>
          <w:rStyle w:val="CharStyle17"/>
          <w:lang w:val="en-US" w:eastAsia="en-US"/>
        </w:rPr>
        <w:t xml:space="preserve">106 </w:t>
      </w:r>
      <w:r>
        <w:rPr>
          <w:rStyle w:val="CharStyle17"/>
        </w:rPr>
        <w:t xml:space="preserve">Федерального закона от </w:t>
      </w:r>
      <w:r>
        <w:rPr>
          <w:rStyle w:val="CharStyle17"/>
          <w:lang w:val="en-US" w:eastAsia="en-US"/>
        </w:rPr>
        <w:t xml:space="preserve">05.04.2013 № </w:t>
      </w:r>
      <w:r>
        <w:rPr>
          <w:rStyle w:val="CharStyle17"/>
        </w:rPr>
        <w:t>44-ФЗ «О контрактной системе в сфере закупок товаров, работ, услуг для обеспечения государственных и муниципальных нужд», Комиссия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7"/>
        </w:rPr>
        <w:t>РЕШИЛА: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7"/>
        </w:rPr>
        <w:t>жалобу ООО «РУСМЕД» признать необоснованной.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58" w:right="511" w:bottom="812" w:left="84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82600" distB="359410" distL="0" distR="0" simplePos="0" relativeHeight="125829381" behindDoc="0" locked="0" layoutInCell="1" allowOverlap="1">
                <wp:simplePos x="0" y="0"/>
                <wp:positionH relativeFrom="page">
                  <wp:posOffset>578485</wp:posOffset>
                </wp:positionH>
                <wp:positionV relativeFrom="paragraph">
                  <wp:posOffset>482600</wp:posOffset>
                </wp:positionV>
                <wp:extent cx="1694815" cy="23495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9481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5.550000000000004pt;margin-top:38.pt;width:133.44999999999999pt;height:18.5pt;z-index:-125829372;mso-wrap-distance-left:0;mso-wrap-distance-top:38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55625" distB="0" distL="0" distR="1786255" simplePos="0" relativeHeight="125829383" behindDoc="0" locked="0" layoutInCell="1" allowOverlap="1">
            <wp:simplePos x="0" y="0"/>
            <wp:positionH relativeFrom="page">
              <wp:posOffset>2986405</wp:posOffset>
            </wp:positionH>
            <wp:positionV relativeFrom="paragraph">
              <wp:posOffset>555625</wp:posOffset>
            </wp:positionV>
            <wp:extent cx="359410" cy="524510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3446780</wp:posOffset>
                </wp:positionH>
                <wp:positionV relativeFrom="paragraph">
                  <wp:posOffset>960755</wp:posOffset>
                </wp:positionV>
                <wp:extent cx="1283335" cy="10033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9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71.39999999999998pt;margin-top:75.650000000000006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9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3406775</wp:posOffset>
                </wp:positionH>
                <wp:positionV relativeFrom="paragraph">
                  <wp:posOffset>643890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68.25pt;margin-top:50.700000000000003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482600" distB="359410" distL="0" distR="0" simplePos="0" relativeHeight="125829384" behindDoc="0" locked="0" layoutInCell="1" allowOverlap="1">
                <wp:simplePos x="0" y="0"/>
                <wp:positionH relativeFrom="page">
                  <wp:posOffset>6214110</wp:posOffset>
                </wp:positionH>
                <wp:positionV relativeFrom="paragraph">
                  <wp:posOffset>482600</wp:posOffset>
                </wp:positionV>
                <wp:extent cx="990600" cy="23495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9060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7"/>
                              </w:rPr>
                              <w:t>М.А. Лебедев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89.30000000000001pt;margin-top:38.pt;width:78.pt;height:18.5pt;z-index:-125829369;mso-wrap-distance-left:0;mso-wrap-distance-top:38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7"/>
                        </w:rPr>
                        <w:t>М.А. Лебедев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2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 xml:space="preserve">Лебедев Максим Александрович </w:t>
      </w: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</w:rPr>
        <w:t>2611071</w:t>
      </w:r>
      <w:r>
        <w:rPr>
          <w:rStyle w:val="CharStyle23"/>
          <w:lang w:val="en-US" w:eastAsia="en-US"/>
        </w:rPr>
        <w:t>F27F646BE170F197EBDA93E5E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340" w:line="266" w:lineRule="auto"/>
        <w:ind w:right="0" w:firstLine="20"/>
        <w:jc w:val="left"/>
      </w:pPr>
      <w:r>
        <w:rPr>
          <w:rStyle w:val="CharStyle23"/>
        </w:rPr>
        <w:t xml:space="preserve">Действителен с 16.09.2025 </w:t>
      </w:r>
      <w:r>
        <w:rPr>
          <w:rStyle w:val="CharStyle23"/>
          <w:color w:val="5C5C5C"/>
        </w:rPr>
        <w:t xml:space="preserve">по </w:t>
      </w:r>
      <w:r>
        <w:rPr>
          <w:rStyle w:val="CharStyle23"/>
        </w:rPr>
        <w:t>10.12.2026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7"/>
        </w:rPr>
        <w:t>Члены комиссии: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410" w:line="240" w:lineRule="auto"/>
        <w:ind w:left="1600" w:right="0" w:firstLine="0"/>
        <w:jc w:val="left"/>
      </w:pPr>
      <w:r>
        <w:drawing>
          <wp:anchor distT="0" distB="0" distL="114300" distR="1931035" simplePos="0" relativeHeight="125829386" behindDoc="0" locked="0" layoutInCell="1" allowOverlap="1">
            <wp:simplePos x="0" y="0"/>
            <wp:positionH relativeFrom="page">
              <wp:posOffset>3016885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3406775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68.25pt;margin-top:11.80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7"/>
        </w:rPr>
        <w:t>Н.В. Плехова</w:t>
      </w:r>
    </w:p>
    <w:p>
      <w:pPr>
        <w:pStyle w:val="Style2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8"/>
          <w:color w:val="FFFFFF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Плехова Надежда Викторовна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color w:val="5C5C5C"/>
        </w:rPr>
        <w:t>11</w:t>
      </w:r>
      <w:r>
        <w:rPr>
          <w:rStyle w:val="CharStyle23"/>
          <w:lang w:val="en-US" w:eastAsia="en-US"/>
        </w:rPr>
        <w:t>34CAAA27D1E4941088A7BF4EEAF9E5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right="0" w:firstLine="0"/>
        <w:jc w:val="left"/>
      </w:pPr>
      <w:r>
        <w:rPr>
          <w:rStyle w:val="CharStyle23"/>
        </w:rPr>
        <w:t xml:space="preserve">Действителен с 18.03.2025 </w:t>
      </w:r>
      <w:r>
        <w:rPr>
          <w:rStyle w:val="CharStyle23"/>
          <w:color w:val="5C5C5C"/>
        </w:rPr>
        <w:t>по 1</w:t>
      </w:r>
      <w:r>
        <w:rPr>
          <w:rStyle w:val="CharStyle23"/>
        </w:rPr>
        <w:t>1.06.2026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410" w:line="240" w:lineRule="auto"/>
        <w:ind w:left="1400" w:right="0" w:firstLine="0"/>
        <w:jc w:val="left"/>
      </w:pPr>
      <w:r>
        <w:drawing>
          <wp:anchor distT="0" distB="0" distL="114300" distR="1931035" simplePos="0" relativeHeight="125829387" behindDoc="0" locked="0" layoutInCell="1" allowOverlap="1">
            <wp:simplePos x="0" y="0"/>
            <wp:positionH relativeFrom="page">
              <wp:posOffset>3016885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3406775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68.25pt;margin-top:11.80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7"/>
        </w:rPr>
        <w:t>А.А. Воронина</w:t>
      </w:r>
    </w:p>
    <w:p>
      <w:pPr>
        <w:pStyle w:val="Style2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8"/>
          <w:color w:val="FFFFFF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Воронина Анастасия Александровна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69BEE60374C158F15549964245E8D556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right="0" w:firstLine="0"/>
        <w:jc w:val="left"/>
      </w:pPr>
      <w:r>
        <w:rPr>
          <w:rStyle w:val="CharStyle23"/>
        </w:rPr>
        <w:t xml:space="preserve">Действителен с 16.09.2025 </w:t>
      </w:r>
      <w:r>
        <w:rPr>
          <w:rStyle w:val="CharStyle23"/>
          <w:color w:val="5C5C5C"/>
        </w:rPr>
        <w:t xml:space="preserve">по </w:t>
      </w:r>
      <w:r>
        <w:rPr>
          <w:rStyle w:val="CharStyle23"/>
        </w:rPr>
        <w:t>10.12.2026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71" w:right="550" w:bottom="1671" w:left="828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560070</wp:posOffset>
              </wp:positionH>
              <wp:positionV relativeFrom="page">
                <wp:posOffset>9906000</wp:posOffset>
              </wp:positionV>
              <wp:extent cx="658495" cy="12509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</w:rPr>
                            <w:t>2026-1420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44.100000000000001pt;margin-top:780.pt;width:51.850000000000001pt;height:9.8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</w:rPr>
                      <w:t>2026-1420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9854565</wp:posOffset>
              </wp:positionV>
              <wp:extent cx="655320" cy="12509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  <w:lang w:val="ru-RU" w:eastAsia="ru-RU"/>
                            </w:rPr>
                            <w:t>2026-1420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25pt;margin-top:775.95000000000005pt;width:51.600000000000001pt;height:9.8499999999999996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  <w:lang w:val="ru-RU" w:eastAsia="ru-RU"/>
                      </w:rPr>
                      <w:t>2026-1420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3855085</wp:posOffset>
              </wp:positionH>
              <wp:positionV relativeFrom="page">
                <wp:posOffset>647700</wp:posOffset>
              </wp:positionV>
              <wp:extent cx="54610" cy="7302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5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03.55000000000001pt;margin-top:51.pt;width:4.2999999999999998pt;height:5.7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5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6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82"/>
      <w:szCs w:val="182"/>
      <w:u w:val="none"/>
    </w:rPr>
  </w:style>
  <w:style w:type="character" w:customStyle="1" w:styleId="CharStyle5">
    <w:name w:val="Header or footer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8">
    <w:name w:val="Body text (3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character" w:customStyle="1" w:styleId="CharStyle11">
    <w:name w:val="Body text (4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character" w:customStyle="1" w:styleId="CharStyle13">
    <w:name w:val="Heading #1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7">
    <w:name w:val="Body text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9">
    <w:name w:val="Picture caption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3">
    <w:name w:val="Body text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3E3E3E"/>
      <w:sz w:val="12"/>
      <w:szCs w:val="12"/>
      <w:u w:val="none"/>
    </w:rPr>
  </w:style>
  <w:style w:type="character" w:customStyle="1" w:styleId="CharStyle28">
    <w:name w:val="Body text (5)_"/>
    <w:basedOn w:val="DefaultParagraphFont"/>
    <w:link w:val="Style2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">
    <w:name w:val="Body text (6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82"/>
      <w:szCs w:val="182"/>
      <w:u w:val="none"/>
    </w:rPr>
  </w:style>
  <w:style w:type="paragraph" w:customStyle="1" w:styleId="Style4">
    <w:name w:val="Header or footer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7">
    <w:name w:val="Body text (3)"/>
    <w:basedOn w:val="Normal"/>
    <w:link w:val="CharStyle8"/>
    <w:pPr>
      <w:widowControl w:val="0"/>
      <w:shd w:val="clear" w:color="auto" w:fill="auto"/>
      <w:spacing w:after="60" w:line="28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paragraph" w:customStyle="1" w:styleId="Style10">
    <w:name w:val="Body text (4)"/>
    <w:basedOn w:val="Normal"/>
    <w:link w:val="CharStyle11"/>
    <w:pPr>
      <w:widowControl w:val="0"/>
      <w:shd w:val="clear" w:color="auto" w:fill="auto"/>
      <w:spacing w:after="21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paragraph" w:customStyle="1" w:styleId="Style12">
    <w:name w:val="Heading #1"/>
    <w:basedOn w:val="Normal"/>
    <w:link w:val="CharStyle13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6">
    <w:name w:val="Body text"/>
    <w:basedOn w:val="Normal"/>
    <w:link w:val="CharStyle1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8">
    <w:name w:val="Picture caption"/>
    <w:basedOn w:val="Normal"/>
    <w:link w:val="CharStyle19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2">
    <w:name w:val="Body text (2)"/>
    <w:basedOn w:val="Normal"/>
    <w:link w:val="CharStyle23"/>
    <w:pPr>
      <w:widowControl w:val="0"/>
      <w:shd w:val="clear" w:color="auto" w:fill="auto"/>
      <w:ind w:left="38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E3E3E"/>
      <w:sz w:val="12"/>
      <w:szCs w:val="12"/>
      <w:u w:val="none"/>
    </w:rPr>
  </w:style>
  <w:style w:type="paragraph" w:customStyle="1" w:styleId="Style27">
    <w:name w:val="Body text (5)"/>
    <w:basedOn w:val="Normal"/>
    <w:link w:val="CharStyle28"/>
    <w:pPr>
      <w:widowControl w:val="0"/>
      <w:shd w:val="clear" w:color="auto" w:fill="auto"/>
      <w:spacing w:after="80"/>
      <w:ind w:left="458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image" Target="media/image1.png"/><Relationship Id="rId10" Type="http://schemas.openxmlformats.org/officeDocument/2006/relationships/image" Target="media/image1.png" TargetMode="Externa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