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86"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20" w:line="286"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380"/>
        <w:ind w:left="0" w:right="0" w:firstLine="0"/>
        <w:jc w:val="center"/>
      </w:pPr>
      <w:r>
        <w:rPr>
          <w:rStyle w:val="CharStyle9"/>
          <w:b/>
          <w:bCs/>
        </w:rPr>
        <w:t>Федеральной антимонопольной службы</w:t>
        <w:br/>
        <w:t>по Мурманской области</w:t>
      </w:r>
    </w:p>
    <w:p>
      <w:pPr>
        <w:pStyle w:val="Style2"/>
        <w:keepNext w:val="0"/>
        <w:keepLines w:val="0"/>
        <w:widowControl w:val="0"/>
        <w:shd w:val="clear" w:color="auto" w:fill="auto"/>
        <w:bidi w:val="0"/>
        <w:spacing w:before="0" w:after="0" w:line="307" w:lineRule="auto"/>
        <w:ind w:left="0" w:right="0" w:firstLine="0"/>
        <w:jc w:val="center"/>
      </w:pPr>
      <w:r>
        <w:rPr>
          <w:rStyle w:val="CharStyle3"/>
        </w:rPr>
        <w:t>ул. Академика Книповича, 9а, г. Мурманск, 183038</w:t>
        <w:br/>
        <w:t>тел. (8152) 68-50-43, факс (8152) 68-50-43</w:t>
      </w:r>
    </w:p>
    <w:p>
      <w:pPr>
        <w:pStyle w:val="Style2"/>
        <w:keepNext w:val="0"/>
        <w:keepLines w:val="0"/>
        <w:widowControl w:val="0"/>
        <w:shd w:val="clear" w:color="auto" w:fill="auto"/>
        <w:bidi w:val="0"/>
        <w:spacing w:before="0" w:after="60" w:line="240" w:lineRule="auto"/>
        <w:ind w:left="0" w:right="0" w:firstLine="0"/>
        <w:jc w:val="center"/>
      </w:pPr>
      <w:r>
        <w:rPr>
          <w:rStyle w:val="CharStyle3"/>
          <w:lang w:val="en-US" w:eastAsia="en-US"/>
        </w:rPr>
        <w:t xml:space="preserve">e-mail: </w:t>
      </w:r>
      <w:r>
        <w:fldChar w:fldCharType="begin"/>
      </w:r>
      <w:r>
        <w:rPr/>
        <w:instrText> HYPERLINK "mailto:to51@fas.gov.ru" </w:instrText>
      </w:r>
      <w:r>
        <w:fldChar w:fldCharType="separate"/>
      </w:r>
      <w:r>
        <w:rPr>
          <w:rStyle w:val="CharStyle3"/>
          <w:lang w:val="en-US" w:eastAsia="en-US"/>
        </w:rPr>
        <w:t>to51@fas.gov.ru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8.05.2026</w:t>
        <w:tab/>
      </w:r>
      <w:r>
        <w:fldChar w:fldCharType="end"/>
      </w:r>
      <w:r>
        <w:rPr>
          <w:rStyle w:val="CharStyle11"/>
        </w:rPr>
        <w:t>№ МГ/2246/26</w:t>
      </w:r>
      <w:bookmarkEnd w:id="0"/>
    </w:p>
    <w:p>
      <w:pPr>
        <w:pStyle w:val="Style8"/>
        <w:keepNext w:val="0"/>
        <w:keepLines w:val="0"/>
        <w:widowControl w:val="0"/>
        <w:shd w:val="clear" w:color="auto" w:fill="auto"/>
        <w:bidi w:val="0"/>
        <w:spacing w:before="0" w:after="0" w:line="271" w:lineRule="auto"/>
        <w:ind w:left="0" w:right="0" w:firstLine="0"/>
        <w:jc w:val="left"/>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300"/>
        <w:ind w:left="0" w:right="0" w:firstLine="0"/>
        <w:jc w:val="left"/>
      </w:pPr>
      <w:r>
        <w:rPr>
          <w:rStyle w:val="CharStyle14"/>
        </w:rPr>
        <w:t xml:space="preserve">Государственное областное бюджетное учреждение здравоохранения «Мурманский областной клинический многопрофильный центр» </w:t>
      </w:r>
      <w:r>
        <w:fldChar w:fldCharType="begin"/>
      </w:r>
      <w:r>
        <w:rPr/>
        <w:instrText> HYPERLINK "mailto:center@mokmc.ru" </w:instrText>
      </w:r>
      <w:r>
        <w:fldChar w:fldCharType="separate"/>
      </w:r>
      <w:r>
        <w:rPr>
          <w:rStyle w:val="CharStyle14"/>
          <w:lang w:val="en-US" w:eastAsia="en-US"/>
        </w:rPr>
        <w:t>center@mokmc.ru</w:t>
      </w:r>
      <w:r>
        <w:fldChar w:fldCharType="end"/>
      </w:r>
      <w:r>
        <w:rPr>
          <w:rStyle w:val="CharStyle14"/>
          <w:lang w:val="en-US" w:eastAsia="en-US"/>
        </w:rPr>
        <w:t xml:space="preserve"> </w:t>
      </w:r>
      <w:r>
        <w:fldChar w:fldCharType="begin"/>
      </w:r>
      <w:r>
        <w:rPr/>
        <w:instrText> HYPERLINK "mailto:kontrakt@mokmc.ru" </w:instrText>
      </w:r>
      <w:r>
        <w:fldChar w:fldCharType="separate"/>
      </w:r>
      <w:r>
        <w:rPr>
          <w:rStyle w:val="CharStyle14"/>
          <w:lang w:val="en-US" w:eastAsia="en-US"/>
        </w:rPr>
        <w:t>kontrakt@mokmc.ru</w:t>
      </w:r>
      <w:r>
        <w:fldChar w:fldCharType="end"/>
      </w:r>
    </w:p>
    <w:p>
      <w:pPr>
        <w:pStyle w:val="Style13"/>
        <w:keepNext w:val="0"/>
        <w:keepLines w:val="0"/>
        <w:widowControl w:val="0"/>
        <w:shd w:val="clear" w:color="auto" w:fill="auto"/>
        <w:bidi w:val="0"/>
        <w:spacing w:before="0" w:after="300" w:line="288" w:lineRule="auto"/>
        <w:ind w:left="0" w:right="0" w:firstLine="0"/>
        <w:jc w:val="left"/>
      </w:pPr>
      <w:r>
        <w:rPr>
          <w:rStyle w:val="CharStyle14"/>
        </w:rPr>
        <w:t xml:space="preserve">Комитет по конкурентной политике Мурманской области </w:t>
      </w:r>
      <w:r>
        <w:fldChar w:fldCharType="begin"/>
      </w:r>
      <w:r>
        <w:rPr/>
        <w:instrText> HYPERLINK "mailto:goszakaz@gov-murman.ru" </w:instrText>
      </w:r>
      <w:r>
        <w:fldChar w:fldCharType="separate"/>
      </w:r>
      <w:r>
        <w:rPr>
          <w:rStyle w:val="CharStyle14"/>
          <w:lang w:val="en-US" w:eastAsia="en-US"/>
        </w:rPr>
        <w:t>goszakaz@gov-murman.ru</w:t>
      </w:r>
      <w:r>
        <w:fldChar w:fldCharType="end"/>
      </w:r>
    </w:p>
    <w:p>
      <w:pPr>
        <w:pStyle w:val="Style13"/>
        <w:keepNext w:val="0"/>
        <w:keepLines w:val="0"/>
        <w:widowControl w:val="0"/>
        <w:shd w:val="clear" w:color="auto" w:fill="auto"/>
        <w:bidi w:val="0"/>
        <w:spacing w:before="0" w:after="0"/>
        <w:ind w:left="0" w:right="0" w:firstLine="0"/>
        <w:jc w:val="left"/>
        <w:sectPr>
          <w:footerReference w:type="default" r:id="rId5"/>
          <w:footerReference w:type="first" r:id="rId6"/>
          <w:footnotePr>
            <w:pos w:val="pageBottom"/>
            <w:numFmt w:val="decimal"/>
            <w:numRestart w:val="continuous"/>
          </w:footnotePr>
          <w:pgSz w:w="11900" w:h="16840"/>
          <w:pgMar w:top="1162" w:right="1217" w:bottom="1154" w:left="1135" w:header="0" w:footer="3" w:gutter="0"/>
          <w:pgNumType w:start="1"/>
          <w:cols w:num="2" w:space="437"/>
          <w:noEndnote/>
          <w:titlePg/>
          <w:rtlGutter w:val="0"/>
          <w:docGrid w:linePitch="360"/>
        </w:sectPr>
      </w:pPr>
      <w:r>
        <w:rPr>
          <w:rStyle w:val="CharStyle14"/>
        </w:rPr>
        <w:t xml:space="preserve">Общество с ограниченной ответственностью «Квазар» </w:t>
      </w:r>
      <w:r>
        <w:fldChar w:fldCharType="begin"/>
      </w:r>
      <w:r>
        <w:rPr/>
        <w:instrText> HYPERLINK "mailto:info@kvazar.ooo" </w:instrText>
      </w:r>
      <w:r>
        <w:fldChar w:fldCharType="separate"/>
      </w:r>
      <w:r>
        <w:rPr>
          <w:rStyle w:val="CharStyle14"/>
          <w:lang w:val="en-US" w:eastAsia="en-US"/>
        </w:rPr>
        <w:t>info@kvazar.ooo</w:t>
      </w:r>
      <w:r>
        <w:fldChar w:fldCharType="end"/>
      </w: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6" w:right="0" w:bottom="1222" w:left="0" w:header="0" w:footer="3" w:gutter="0"/>
          <w:cols w:space="720"/>
          <w:noEndnote/>
          <w:rtlGutter w:val="0"/>
          <w:docGrid w:linePitch="360"/>
        </w:sectPr>
      </w:pPr>
    </w:p>
    <w:p>
      <w:pPr>
        <w:pStyle w:val="Style13"/>
        <w:keepNext w:val="0"/>
        <w:keepLines w:val="0"/>
        <w:widowControl w:val="0"/>
        <w:shd w:val="clear" w:color="auto" w:fill="auto"/>
        <w:bidi w:val="0"/>
        <w:spacing w:before="0" w:after="300" w:line="288" w:lineRule="auto"/>
        <w:ind w:left="0" w:right="0" w:firstLine="0"/>
        <w:jc w:val="center"/>
      </w:pPr>
      <w:r>
        <w:rPr>
          <w:rStyle w:val="CharStyle14"/>
          <w:b/>
          <w:bCs/>
        </w:rPr>
        <w:t>РЕШЕНИЕ</w:t>
        <w:br/>
        <w:t>по делу № 051/06/105-411/2026</w:t>
      </w:r>
    </w:p>
    <w:p>
      <w:pPr>
        <w:pStyle w:val="Style13"/>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6079490</wp:posOffset>
                </wp:positionH>
                <wp:positionV relativeFrom="paragraph">
                  <wp:posOffset>203200</wp:posOffset>
                </wp:positionV>
                <wp:extent cx="920750" cy="243840"/>
                <wp:wrapSquare wrapText="left"/>
                <wp:docPr id="5" name="Shape 5"/>
                <a:graphic xmlns:a="http://schemas.openxmlformats.org/drawingml/2006/main">
                  <a:graphicData uri="http://schemas.microsoft.com/office/word/2010/wordprocessingShape">
                    <wps:wsp>
                      <wps:cNvSpPr txBox="1"/>
                      <wps:spPr>
                        <a:xfrm>
                          <a:ext cx="920750"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Мурманск</w:t>
                            </w:r>
                          </w:p>
                        </w:txbxContent>
                      </wps:txbx>
                      <wps:bodyPr wrap="none" lIns="0" tIns="0" rIns="0" bIns="0">
                        <a:noAutoFit/>
                      </wps:bodyPr>
                    </wps:wsp>
                  </a:graphicData>
                </a:graphic>
              </wp:anchor>
            </w:drawing>
          </mc:Choice>
          <mc:Fallback>
            <w:pict>
              <v:shape id="_x0000_s1031" type="#_x0000_t202" style="position:absolute;margin-left:478.69999999999999pt;margin-top:16.pt;width:72.5pt;height:19.19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Мурманск</w:t>
                      </w:r>
                    </w:p>
                  </w:txbxContent>
                </v:textbox>
                <w10:wrap type="square" side="left" anchorx="page"/>
              </v:shape>
            </w:pict>
          </mc:Fallback>
        </mc:AlternateContent>
      </w:r>
      <w:r>
        <w:rPr>
          <w:rStyle w:val="CharStyle14"/>
        </w:rPr>
        <w:t>Резолютивная часть решения оглашена «13» мая 2026 года</w:t>
      </w:r>
    </w:p>
    <w:p>
      <w:pPr>
        <w:pStyle w:val="Style13"/>
        <w:keepNext w:val="0"/>
        <w:keepLines w:val="0"/>
        <w:widowControl w:val="0"/>
        <w:shd w:val="clear" w:color="auto" w:fill="auto"/>
        <w:bidi w:val="0"/>
        <w:spacing w:before="0" w:after="360" w:line="240" w:lineRule="auto"/>
        <w:ind w:left="0" w:right="0" w:firstLine="0"/>
        <w:jc w:val="left"/>
      </w:pPr>
      <w:r>
        <w:rPr>
          <w:rStyle w:val="CharStyle14"/>
        </w:rPr>
        <w:t>В полном объеме изготовлено «18» мая 2026 года</w:t>
      </w:r>
    </w:p>
    <w:p>
      <w:pPr>
        <w:pStyle w:val="Style13"/>
        <w:keepNext w:val="0"/>
        <w:keepLines w:val="0"/>
        <w:widowControl w:val="0"/>
        <w:shd w:val="clear" w:color="auto" w:fill="auto"/>
        <w:bidi w:val="0"/>
        <w:spacing w:before="0" w:after="0"/>
        <w:ind w:left="0" w:right="0" w:firstLine="740"/>
        <w:jc w:val="both"/>
      </w:pPr>
      <w:r>
        <w:rPr>
          <w:rStyle w:val="CharStyle14"/>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3"/>
        <w:keepNext w:val="0"/>
        <w:keepLines w:val="0"/>
        <w:widowControl w:val="0"/>
        <w:shd w:val="clear" w:color="auto" w:fill="auto"/>
        <w:bidi w:val="0"/>
        <w:spacing w:before="0" w:after="0"/>
        <w:ind w:left="0" w:right="0" w:firstLine="740"/>
        <w:jc w:val="both"/>
      </w:pPr>
      <w:r>
        <w:rPr>
          <w:rStyle w:val="CharStyle14"/>
        </w:rPr>
        <w:t>Председатель Комиссии:</w:t>
      </w:r>
    </w:p>
    <w:p>
      <w:pPr>
        <w:pStyle w:val="Style13"/>
        <w:keepNext w:val="0"/>
        <w:keepLines w:val="0"/>
        <w:widowControl w:val="0"/>
        <w:shd w:val="clear" w:color="auto" w:fill="auto"/>
        <w:bidi w:val="0"/>
        <w:spacing w:before="0" w:after="0"/>
        <w:ind w:left="0" w:right="0" w:firstLine="740"/>
        <w:jc w:val="both"/>
      </w:pPr>
      <w:r>
        <w:rPr>
          <w:rStyle w:val="CharStyle14"/>
        </w:rPr>
        <w:t>Прохорова М.Е. – заместитель руководителя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Члены Комиссии:</w:t>
      </w:r>
    </w:p>
    <w:p>
      <w:pPr>
        <w:pStyle w:val="Style13"/>
        <w:keepNext w:val="0"/>
        <w:keepLines w:val="0"/>
        <w:widowControl w:val="0"/>
        <w:shd w:val="clear" w:color="auto" w:fill="auto"/>
        <w:bidi w:val="0"/>
        <w:spacing w:before="0" w:after="0"/>
        <w:ind w:left="0" w:right="0" w:firstLine="740"/>
        <w:jc w:val="both"/>
      </w:pPr>
      <w:r>
        <w:rPr>
          <w:rStyle w:val="CharStyle14"/>
        </w:rPr>
        <w:t>Конох А.А. – ведущий специалист-эксперт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Цветкова А.С. – специалист 1 разряда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при участии представителей:</w:t>
      </w:r>
    </w:p>
    <w:p>
      <w:pPr>
        <w:pStyle w:val="Style13"/>
        <w:keepNext w:val="0"/>
        <w:keepLines w:val="0"/>
        <w:widowControl w:val="0"/>
        <w:shd w:val="clear" w:color="auto" w:fill="auto"/>
        <w:bidi w:val="0"/>
        <w:spacing w:before="0" w:after="0"/>
        <w:ind w:left="0" w:right="0" w:firstLine="740"/>
        <w:jc w:val="both"/>
      </w:pPr>
      <w:r>
        <w:rPr>
          <w:rStyle w:val="CharStyle14"/>
        </w:rPr>
        <w:t>Государственного областного бюджетного учреждения здравоохранения «Мурманский областной клинический многопрофильный центр» – Кисляковой Е.А. и Фрибус В.В. (по доверенности),</w:t>
      </w:r>
    </w:p>
    <w:p>
      <w:pPr>
        <w:pStyle w:val="Style13"/>
        <w:keepNext w:val="0"/>
        <w:keepLines w:val="0"/>
        <w:widowControl w:val="0"/>
        <w:shd w:val="clear" w:color="auto" w:fill="auto"/>
        <w:bidi w:val="0"/>
        <w:spacing w:before="0" w:after="0"/>
        <w:ind w:left="0" w:right="0" w:firstLine="740"/>
        <w:jc w:val="both"/>
      </w:pPr>
      <w:r>
        <w:rPr>
          <w:rStyle w:val="CharStyle14"/>
        </w:rPr>
        <w:t>Комитета по конкурентной политике Мурманской области – Гусевой К.Е. (по</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 xml:space="preserve">in in II II mm </w:t>
      </w:r>
      <w:r>
        <w:rPr>
          <w:rStyle w:val="CharStyle19"/>
          <w:lang w:val="ru-RU" w:eastAsia="ru-RU"/>
        </w:rPr>
        <w:t xml:space="preserve">и </w:t>
      </w:r>
      <w:r>
        <w:rPr>
          <w:rStyle w:val="CharStyle19"/>
        </w:rPr>
        <w:t>min</w:t>
      </w:r>
      <w:bookmarkEnd w:id="2"/>
    </w:p>
    <w:p>
      <w:pPr>
        <w:pStyle w:val="Style13"/>
        <w:keepNext w:val="0"/>
        <w:keepLines w:val="0"/>
        <w:widowControl w:val="0"/>
        <w:shd w:val="clear" w:color="auto" w:fill="auto"/>
        <w:bidi w:val="0"/>
        <w:spacing w:before="0" w:after="60"/>
        <w:ind w:left="0" w:right="0" w:firstLine="0"/>
        <w:jc w:val="both"/>
      </w:pPr>
      <w:r>
        <w:rPr>
          <w:rStyle w:val="CharStyle14"/>
        </w:rPr>
        <w:t>доверенности),</w:t>
      </w:r>
    </w:p>
    <w:p>
      <w:pPr>
        <w:pStyle w:val="Style13"/>
        <w:keepNext w:val="0"/>
        <w:keepLines w:val="0"/>
        <w:widowControl w:val="0"/>
        <w:shd w:val="clear" w:color="auto" w:fill="auto"/>
        <w:bidi w:val="0"/>
        <w:spacing w:before="0" w:after="0"/>
        <w:ind w:left="0" w:right="0" w:firstLine="720"/>
        <w:jc w:val="both"/>
      </w:pPr>
      <w:r>
        <w:rPr>
          <w:rStyle w:val="CharStyle14"/>
        </w:rPr>
        <w:t xml:space="preserve">Общества с ограниченной ответственностью «Квазар» </w:t>
      </w:r>
      <w:r>
        <w:rPr>
          <w:rStyle w:val="CharStyle14"/>
          <w:lang w:val="en-US" w:eastAsia="en-US"/>
        </w:rPr>
        <w:t xml:space="preserve">– </w:t>
      </w:r>
      <w:r>
        <w:rPr>
          <w:rStyle w:val="CharStyle14"/>
        </w:rPr>
        <w:t>Фасхутдиновой Л.Р. (по доверенности),</w:t>
      </w:r>
    </w:p>
    <w:p>
      <w:pPr>
        <w:pStyle w:val="Style13"/>
        <w:keepNext w:val="0"/>
        <w:keepLines w:val="0"/>
        <w:widowControl w:val="0"/>
        <w:shd w:val="clear" w:color="auto" w:fill="auto"/>
        <w:bidi w:val="0"/>
        <w:spacing w:before="0" w:after="300"/>
        <w:ind w:left="0" w:right="0" w:firstLine="720"/>
        <w:jc w:val="both"/>
      </w:pPr>
      <w:r>
        <w:rPr>
          <w:rStyle w:val="CharStyle14"/>
        </w:rPr>
        <w:t xml:space="preserve">рассмотрев жалобу Общества с ограниченной ответственностью «Квазар» (далее </w:t>
      </w:r>
      <w:r>
        <w:rPr>
          <w:rStyle w:val="CharStyle14"/>
          <w:lang w:val="en-US" w:eastAsia="en-US"/>
        </w:rPr>
        <w:t xml:space="preserve">– </w:t>
      </w:r>
      <w:r>
        <w:rPr>
          <w:rStyle w:val="CharStyle14"/>
        </w:rPr>
        <w:t xml:space="preserve">Заявитель, ООО «Квазар», Общество) на действия Заказчика </w:t>
      </w:r>
      <w:r>
        <w:rPr>
          <w:rStyle w:val="CharStyle14"/>
          <w:lang w:val="en-US" w:eastAsia="en-US"/>
        </w:rPr>
        <w:t xml:space="preserve">- </w:t>
      </w:r>
      <w:r>
        <w:rPr>
          <w:rStyle w:val="CharStyle14"/>
        </w:rPr>
        <w:t xml:space="preserve">Государственного областного бюджетного учреждения здравоохранения «Мурманский областной клинический многопрофильный центр», Уполномоченного органа </w:t>
      </w:r>
      <w:r>
        <w:rPr>
          <w:rStyle w:val="CharStyle14"/>
          <w:lang w:val="en-US" w:eastAsia="en-US"/>
        </w:rPr>
        <w:t xml:space="preserve">– </w:t>
      </w:r>
      <w:r>
        <w:rPr>
          <w:rStyle w:val="CharStyle14"/>
        </w:rPr>
        <w:t xml:space="preserve">Комитета по конкурентной политике Мурманской области при проведении электронного аукциона на поставку оригинальных расходных материалов для печатной техники Катюша, реестровый номер извещения </w:t>
      </w:r>
      <w:r>
        <w:rPr>
          <w:rStyle w:val="CharStyle14"/>
          <w:lang w:val="en-US" w:eastAsia="en-US"/>
        </w:rPr>
        <w:t xml:space="preserve">0149200002326002151, </w:t>
      </w:r>
      <w:r>
        <w:rPr>
          <w:rStyle w:val="CharStyle14"/>
        </w:rPr>
        <w:t xml:space="preserve">в соответствии со статьёй </w:t>
      </w:r>
      <w:r>
        <w:rPr>
          <w:rStyle w:val="CharStyle14"/>
          <w:lang w:val="en-US" w:eastAsia="en-US"/>
        </w:rPr>
        <w:t xml:space="preserve">106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3"/>
        <w:keepNext w:val="0"/>
        <w:keepLines w:val="0"/>
        <w:widowControl w:val="0"/>
        <w:shd w:val="clear" w:color="auto" w:fill="auto"/>
        <w:bidi w:val="0"/>
        <w:spacing w:before="0" w:after="300"/>
        <w:ind w:left="0" w:right="0" w:firstLine="0"/>
        <w:jc w:val="center"/>
      </w:pPr>
      <w:r>
        <w:rPr>
          <w:rStyle w:val="CharStyle14"/>
        </w:rPr>
        <w:t>УСТАНОВИЛА:</w:t>
      </w:r>
    </w:p>
    <w:p>
      <w:pPr>
        <w:pStyle w:val="Style13"/>
        <w:keepNext w:val="0"/>
        <w:keepLines w:val="0"/>
        <w:widowControl w:val="0"/>
        <w:shd w:val="clear" w:color="auto" w:fill="auto"/>
        <w:bidi w:val="0"/>
        <w:spacing w:before="0" w:after="0"/>
        <w:ind w:left="0" w:right="0" w:firstLine="720"/>
        <w:jc w:val="both"/>
      </w:pPr>
      <w:r>
        <w:rPr>
          <w:rStyle w:val="CharStyle14"/>
          <w:lang w:val="en-US" w:eastAsia="en-US"/>
        </w:rPr>
        <w:t xml:space="preserve">28.04.2026 </w:t>
      </w:r>
      <w:r>
        <w:rPr>
          <w:rStyle w:val="CharStyle14"/>
        </w:rPr>
        <w:t xml:space="preserve">в Единой информационной системе в сфере закупок </w:t>
      </w:r>
      <w:r>
        <w:rPr>
          <w:rStyle w:val="CharStyle14"/>
          <w:lang w:val="en-US" w:eastAsia="en-US"/>
        </w:rPr>
        <w:t xml:space="preserve">–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Комитетом по конкурентной политике Мурманской области размещено извещение о проведении электронного аукциона на поставку оригинальных расходных материалов для печатной техники Катюша, реестровый номер извещения </w:t>
      </w:r>
      <w:r>
        <w:rPr>
          <w:rStyle w:val="CharStyle14"/>
          <w:lang w:val="en-US" w:eastAsia="en-US"/>
        </w:rPr>
        <w:t>0149200002326002151.</w:t>
      </w:r>
    </w:p>
    <w:p>
      <w:pPr>
        <w:pStyle w:val="Style13"/>
        <w:keepNext w:val="0"/>
        <w:keepLines w:val="0"/>
        <w:widowControl w:val="0"/>
        <w:shd w:val="clear" w:color="auto" w:fill="auto"/>
        <w:bidi w:val="0"/>
        <w:spacing w:before="0" w:after="0"/>
        <w:ind w:left="0" w:right="0" w:firstLine="720"/>
        <w:jc w:val="both"/>
      </w:pPr>
      <w:r>
        <w:rPr>
          <w:rStyle w:val="CharStyle14"/>
        </w:rPr>
        <w:t>Заказчик: Государственного областного бюджетного учреждения здравоохранения «Мурманский областной клинический многопрофильный центр».</w:t>
      </w:r>
    </w:p>
    <w:p>
      <w:pPr>
        <w:pStyle w:val="Style13"/>
        <w:keepNext w:val="0"/>
        <w:keepLines w:val="0"/>
        <w:widowControl w:val="0"/>
        <w:shd w:val="clear" w:color="auto" w:fill="auto"/>
        <w:bidi w:val="0"/>
        <w:spacing w:before="0" w:after="0"/>
        <w:ind w:left="0" w:right="0" w:firstLine="720"/>
        <w:jc w:val="both"/>
      </w:pPr>
      <w:r>
        <w:rPr>
          <w:rStyle w:val="CharStyle14"/>
        </w:rPr>
        <w:t xml:space="preserve">Начальная (максимальная) цена контракта: </w:t>
      </w:r>
      <w:r>
        <w:rPr>
          <w:rStyle w:val="CharStyle14"/>
          <w:lang w:val="en-US" w:eastAsia="en-US"/>
        </w:rPr>
        <w:t xml:space="preserve">848 041,51 </w:t>
      </w:r>
      <w:r>
        <w:rPr>
          <w:rStyle w:val="CharStyle14"/>
        </w:rPr>
        <w:t>руб.</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и время начала срока подачи заявок: </w:t>
      </w:r>
      <w:r>
        <w:rPr>
          <w:rStyle w:val="CharStyle14"/>
          <w:lang w:val="en-US" w:eastAsia="en-US"/>
        </w:rPr>
        <w:t>28.04.2026 18:29.</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и время окончания срока подачи заявок: </w:t>
      </w:r>
      <w:r>
        <w:rPr>
          <w:rStyle w:val="CharStyle14"/>
          <w:lang w:val="en-US" w:eastAsia="en-US"/>
        </w:rPr>
        <w:t>07.05.2026 07:00.</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12.05.2026.</w:t>
      </w:r>
    </w:p>
    <w:p>
      <w:pPr>
        <w:pStyle w:val="Style13"/>
        <w:keepNext w:val="0"/>
        <w:keepLines w:val="0"/>
        <w:widowControl w:val="0"/>
        <w:shd w:val="clear" w:color="auto" w:fill="auto"/>
        <w:bidi w:val="0"/>
        <w:spacing w:before="0" w:after="0"/>
        <w:ind w:left="0" w:right="0" w:firstLine="720"/>
        <w:jc w:val="both"/>
      </w:pPr>
      <w:r>
        <w:rPr>
          <w:rStyle w:val="CharStyle14"/>
          <w:lang w:val="en-US" w:eastAsia="en-US"/>
        </w:rPr>
        <w:t xml:space="preserve">11.05.2026 </w:t>
      </w:r>
      <w:r>
        <w:rPr>
          <w:rStyle w:val="CharStyle14"/>
        </w:rPr>
        <w:t xml:space="preserve">в Управление поступила жалоба ООО «Квазар», согласно доводам которой при формировании извещения Заказчиком нарушены положения статьи </w:t>
      </w:r>
      <w:r>
        <w:rPr>
          <w:rStyle w:val="CharStyle14"/>
          <w:lang w:val="en-US" w:eastAsia="en-US"/>
        </w:rPr>
        <w:t xml:space="preserve">33 </w:t>
      </w:r>
      <w:r>
        <w:rPr>
          <w:rStyle w:val="CharStyle14"/>
        </w:rPr>
        <w:t>Закона о контрактной системе, поскольку описание объекта закупки необоснованно (отсутствуют подтверждающие документы: техническая документация производителя печатной техники, гарантийные талоны и т.д.) содержит сведения о поставке товара конкретного производителя без указания на допустимость поставки эквивалента, что ограничивает количество участников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По мнению Заявителя, Заказчик неправомерно не использовал при описании объекта закупки характеристики товара российского происхождения, что противоречит требованиям части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300"/>
        <w:ind w:left="0" w:right="0" w:firstLine="720"/>
        <w:jc w:val="both"/>
      </w:pPr>
      <w:r>
        <w:rPr>
          <w:rStyle w:val="CharStyle14"/>
        </w:rPr>
        <w:t xml:space="preserve">Жалоба Общества рассмотрена </w:t>
      </w:r>
      <w:r>
        <w:rPr>
          <w:rStyle w:val="CharStyle14"/>
          <w:lang w:val="en-US" w:eastAsia="en-US"/>
        </w:rPr>
        <w:t xml:space="preserve">13 </w:t>
      </w:r>
      <w:r>
        <w:rPr>
          <w:rStyle w:val="CharStyle14"/>
        </w:rPr>
        <w:t xml:space="preserve">мая </w:t>
      </w:r>
      <w:r>
        <w:rPr>
          <w:rStyle w:val="CharStyle14"/>
          <w:lang w:val="en-US" w:eastAsia="en-US"/>
        </w:rPr>
        <w:t xml:space="preserve">2026 </w:t>
      </w:r>
      <w:r>
        <w:rPr>
          <w:rStyle w:val="CharStyle14"/>
        </w:rPr>
        <w:t xml:space="preserve">года в </w:t>
      </w:r>
      <w:r>
        <w:rPr>
          <w:rStyle w:val="CharStyle14"/>
          <w:lang w:val="en-US" w:eastAsia="en-US"/>
        </w:rPr>
        <w:t xml:space="preserve">12 </w:t>
      </w:r>
      <w:r>
        <w:rPr>
          <w:rStyle w:val="CharStyle14"/>
        </w:rPr>
        <w:t xml:space="preserve">часов </w:t>
      </w:r>
      <w:r>
        <w:rPr>
          <w:rStyle w:val="CharStyle14"/>
          <w:lang w:val="en-US" w:eastAsia="en-US"/>
        </w:rPr>
        <w:t xml:space="preserve">00 </w:t>
      </w:r>
      <w:r>
        <w:rPr>
          <w:rStyle w:val="CharStyle14"/>
        </w:rPr>
        <w:t>минут посредством сервиса веб-видеоконференцсвязи.</w:t>
      </w:r>
    </w:p>
    <w:p>
      <w:pPr>
        <w:pStyle w:val="Style13"/>
        <w:keepNext w:val="0"/>
        <w:keepLines w:val="0"/>
        <w:widowControl w:val="0"/>
        <w:shd w:val="clear" w:color="auto" w:fill="auto"/>
        <w:bidi w:val="0"/>
        <w:spacing w:before="0" w:after="0"/>
        <w:ind w:left="0" w:right="0" w:firstLine="720"/>
        <w:jc w:val="both"/>
      </w:pPr>
      <w:r>
        <w:rPr>
          <w:rStyle w:val="CharStyle14"/>
        </w:rPr>
        <w:t xml:space="preserve">Комиссия Мурманского </w:t>
      </w:r>
      <w:r>
        <w:rPr>
          <w:rStyle w:val="CharStyle14"/>
          <w:lang w:val="en-US" w:eastAsia="en-US"/>
        </w:rPr>
        <w:t xml:space="preserve">УФАC </w:t>
      </w:r>
      <w:r>
        <w:rPr>
          <w:rStyle w:val="CharStyle14"/>
        </w:rPr>
        <w:t>России, изучив представленные документы и материалы, заслушав пояснения Заказчика, пришла к следующим выводам.</w:t>
      </w:r>
    </w:p>
    <w:p>
      <w:pPr>
        <w:pStyle w:val="Style13"/>
        <w:keepNext w:val="0"/>
        <w:keepLines w:val="0"/>
        <w:widowControl w:val="0"/>
        <w:shd w:val="clear" w:color="auto" w:fill="auto"/>
        <w:bidi w:val="0"/>
        <w:spacing w:before="0" w:after="0"/>
        <w:ind w:left="0" w:right="0" w:firstLine="720"/>
        <w:jc w:val="both"/>
      </w:pPr>
      <w:r>
        <w:rPr>
          <w:rStyle w:val="CharStyle14"/>
        </w:rPr>
        <w:t xml:space="preserve">Рассматриваемые торги проведены в порядке, предусмотренном Федеральным законом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14"/>
        </w:rPr>
        <w:t>сопровождение такого указания словами «или эквивалент»;</w:t>
      </w:r>
    </w:p>
    <w:p>
      <w:pPr>
        <w:pStyle w:val="Style13"/>
        <w:keepNext w:val="0"/>
        <w:keepLines w:val="0"/>
        <w:widowControl w:val="0"/>
        <w:numPr>
          <w:ilvl w:val="0"/>
          <w:numId w:val="1"/>
        </w:numPr>
        <w:shd w:val="clear" w:color="auto" w:fill="auto"/>
        <w:tabs>
          <w:tab w:pos="1071" w:val="left"/>
        </w:tabs>
        <w:bidi w:val="0"/>
        <w:spacing w:before="0" w:after="0"/>
        <w:ind w:left="0" w:right="0" w:firstLine="72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14"/>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
        </w:numPr>
        <w:shd w:val="clear" w:color="auto" w:fill="auto"/>
        <w:tabs>
          <w:tab w:pos="1190" w:val="left"/>
        </w:tabs>
        <w:bidi w:val="0"/>
        <w:spacing w:before="0" w:after="0"/>
        <w:ind w:left="0" w:right="0" w:firstLine="72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w:t>
      </w:r>
    </w:p>
    <w:p>
      <w:pPr>
        <w:pStyle w:val="Style13"/>
        <w:keepNext w:val="0"/>
        <w:keepLines w:val="0"/>
        <w:widowControl w:val="0"/>
        <w:shd w:val="clear" w:color="auto" w:fill="auto"/>
        <w:bidi w:val="0"/>
        <w:spacing w:before="0" w:after="0"/>
        <w:ind w:left="0" w:right="0" w:firstLine="0"/>
        <w:jc w:val="both"/>
      </w:pPr>
      <w:r>
        <w:rPr>
          <w:rStyle w:val="CharStyle14"/>
        </w:rPr>
        <w:t>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20"/>
        <w:jc w:val="both"/>
      </w:pPr>
      <w:r>
        <w:rPr>
          <w:rStyle w:val="CharStyle14"/>
        </w:rPr>
        <w:t xml:space="preserve">Частью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документация о закупке в соответствии с требованиями, указанными в части </w:t>
      </w:r>
      <w:r>
        <w:rPr>
          <w:rStyle w:val="CharStyle14"/>
          <w:lang w:val="en-US" w:eastAsia="en-US"/>
        </w:rPr>
        <w:t xml:space="preserve">1 </w:t>
      </w:r>
      <w:r>
        <w:rPr>
          <w:rStyle w:val="CharStyle14"/>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720"/>
        <w:jc w:val="both"/>
      </w:pPr>
      <w:r>
        <w:rPr>
          <w:rStyle w:val="CharStyle14"/>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подпунктом «в» и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w:t>
      </w:r>
      <w:r>
        <w:rPr>
          <w:rStyle w:val="CharStyle14"/>
          <w:b/>
          <w:bCs/>
        </w:rPr>
        <w:t>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ind w:left="0" w:right="0" w:firstLine="720"/>
        <w:jc w:val="both"/>
      </w:pPr>
      <w:r>
        <w:rPr>
          <w:rStyle w:val="CharStyle14"/>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3"/>
        <w:keepNext w:val="0"/>
        <w:keepLines w:val="0"/>
        <w:widowControl w:val="0"/>
        <w:shd w:val="clear" w:color="auto" w:fill="auto"/>
        <w:bidi w:val="0"/>
        <w:spacing w:before="0" w:after="0"/>
        <w:ind w:left="0" w:right="0" w:firstLine="720"/>
        <w:jc w:val="both"/>
      </w:pPr>
      <w:r>
        <w:rPr>
          <w:rStyle w:val="CharStyle14"/>
        </w:rPr>
        <w:t>Закон о контрактной системе не содержит норм, ограничивающих право Заказчика включать в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3"/>
        <w:keepNext w:val="0"/>
        <w:keepLines w:val="0"/>
        <w:widowControl w:val="0"/>
        <w:shd w:val="clear" w:color="auto" w:fill="auto"/>
        <w:bidi w:val="0"/>
        <w:spacing w:before="0" w:after="0"/>
        <w:ind w:left="0" w:right="0" w:firstLine="720"/>
        <w:jc w:val="both"/>
      </w:pPr>
      <w:r>
        <w:rPr>
          <w:rStyle w:val="CharStyle14"/>
        </w:rPr>
        <w:t xml:space="preserve">В разделе </w:t>
      </w:r>
      <w:r>
        <w:rPr>
          <w:rStyle w:val="CharStyle14"/>
          <w:lang w:val="en-US" w:eastAsia="en-US"/>
        </w:rPr>
        <w:t xml:space="preserve">1 </w:t>
      </w:r>
      <w:r>
        <w:rPr>
          <w:rStyle w:val="CharStyle14"/>
        </w:rPr>
        <w:t xml:space="preserve">электронного документа «Описание объекта закупки», являющимся неотъемлемой частью извещения (далее </w:t>
      </w:r>
      <w:r>
        <w:rPr>
          <w:rStyle w:val="CharStyle14"/>
          <w:lang w:val="en-US" w:eastAsia="en-US"/>
        </w:rPr>
        <w:t xml:space="preserve">– </w:t>
      </w:r>
      <w:r>
        <w:rPr>
          <w:rStyle w:val="CharStyle14"/>
        </w:rPr>
        <w:t>Описание объекта закупки), установлены требования к техническим, функциональным, качественным характеристикам и эксплуатационным (при необходимости) характеристикам (потребительским свойствам) товара.</w:t>
      </w:r>
    </w:p>
    <w:p>
      <w:pPr>
        <w:pStyle w:val="Style13"/>
        <w:keepNext w:val="0"/>
        <w:keepLines w:val="0"/>
        <w:widowControl w:val="0"/>
        <w:shd w:val="clear" w:color="auto" w:fill="auto"/>
        <w:bidi w:val="0"/>
        <w:spacing w:before="0" w:after="0"/>
        <w:ind w:left="0" w:right="0" w:firstLine="720"/>
        <w:jc w:val="both"/>
      </w:pPr>
      <w:r>
        <w:rPr>
          <w:rStyle w:val="CharStyle14"/>
        </w:rPr>
        <w:t xml:space="preserve">В столбцах </w:t>
      </w:r>
      <w:r>
        <w:rPr>
          <w:rStyle w:val="CharStyle14"/>
          <w:lang w:val="en-US" w:eastAsia="en-US"/>
        </w:rPr>
        <w:t xml:space="preserve">2-3 </w:t>
      </w:r>
      <w:r>
        <w:rPr>
          <w:rStyle w:val="CharStyle14"/>
        </w:rPr>
        <w:t xml:space="preserve">раздела </w:t>
      </w:r>
      <w:r>
        <w:rPr>
          <w:rStyle w:val="CharStyle14"/>
          <w:lang w:val="en-US" w:eastAsia="en-US"/>
        </w:rPr>
        <w:t xml:space="preserve">1 </w:t>
      </w:r>
      <w:r>
        <w:rPr>
          <w:rStyle w:val="CharStyle14"/>
        </w:rPr>
        <w:t xml:space="preserve">Описания объекта закупки содержится информация о закупаемых товарах </w:t>
      </w:r>
      <w:r>
        <w:rPr>
          <w:rStyle w:val="CharStyle14"/>
          <w:lang w:val="en-US" w:eastAsia="en-US"/>
        </w:rPr>
        <w:t xml:space="preserve">(4 </w:t>
      </w:r>
      <w:r>
        <w:rPr>
          <w:rStyle w:val="CharStyle14"/>
        </w:rPr>
        <w:t>закупаемые позиции):</w:t>
      </w:r>
    </w:p>
    <w:p>
      <w:pPr>
        <w:pStyle w:val="Style13"/>
        <w:keepNext w:val="0"/>
        <w:keepLines w:val="0"/>
        <w:widowControl w:val="0"/>
        <w:numPr>
          <w:ilvl w:val="0"/>
          <w:numId w:val="3"/>
        </w:numPr>
        <w:shd w:val="clear" w:color="auto" w:fill="auto"/>
        <w:tabs>
          <w:tab w:pos="1067" w:val="left"/>
        </w:tabs>
        <w:bidi w:val="0"/>
        <w:spacing w:before="0" w:after="0"/>
        <w:ind w:left="0" w:right="0" w:firstLine="720"/>
        <w:jc w:val="both"/>
      </w:pPr>
      <w:r>
        <w:rPr>
          <w:rStyle w:val="CharStyle14"/>
        </w:rPr>
        <w:t xml:space="preserve">Барабан-картридж Катюша </w:t>
      </w:r>
      <w:r>
        <w:rPr>
          <w:rStyle w:val="CharStyle14"/>
          <w:lang w:val="en-US" w:eastAsia="en-US"/>
        </w:rPr>
        <w:t xml:space="preserve">DR133 </w:t>
      </w:r>
      <w:r>
        <w:rPr>
          <w:rStyle w:val="CharStyle14"/>
        </w:rPr>
        <w:t xml:space="preserve">(ресурс </w:t>
      </w:r>
      <w:r>
        <w:rPr>
          <w:rStyle w:val="CharStyle14"/>
          <w:lang w:val="en-US" w:eastAsia="en-US"/>
        </w:rPr>
        <w:t xml:space="preserve">- 30.000), </w:t>
      </w:r>
      <w:r>
        <w:rPr>
          <w:rStyle w:val="CharStyle14"/>
        </w:rPr>
        <w:t xml:space="preserve">производитель: ООО «Катюша Принт», товарный знак: «Катюша» </w:t>
      </w:r>
      <w:r>
        <w:rPr>
          <w:rStyle w:val="CharStyle14"/>
          <w:lang w:val="en-US" w:eastAsia="en-US"/>
        </w:rPr>
        <w:t xml:space="preserve">- 8 </w:t>
      </w:r>
      <w:r>
        <w:rPr>
          <w:rStyle w:val="CharStyle14"/>
        </w:rPr>
        <w:t>штук;</w:t>
      </w:r>
    </w:p>
    <w:p>
      <w:pPr>
        <w:pStyle w:val="Style13"/>
        <w:keepNext w:val="0"/>
        <w:keepLines w:val="0"/>
        <w:widowControl w:val="0"/>
        <w:numPr>
          <w:ilvl w:val="0"/>
          <w:numId w:val="3"/>
        </w:numPr>
        <w:shd w:val="clear" w:color="auto" w:fill="auto"/>
        <w:tabs>
          <w:tab w:pos="1067" w:val="left"/>
        </w:tabs>
        <w:bidi w:val="0"/>
        <w:spacing w:before="0" w:after="0"/>
        <w:ind w:left="0" w:right="0" w:firstLine="720"/>
        <w:jc w:val="both"/>
      </w:pPr>
      <w:r>
        <w:rPr>
          <w:rStyle w:val="CharStyle14"/>
        </w:rPr>
        <w:t xml:space="preserve">Барабан-картридж Катюша </w:t>
      </w:r>
      <w:r>
        <w:rPr>
          <w:rStyle w:val="CharStyle14"/>
          <w:lang w:val="en-US" w:eastAsia="en-US"/>
        </w:rPr>
        <w:t xml:space="preserve">DR133 </w:t>
      </w:r>
      <w:r>
        <w:rPr>
          <w:rStyle w:val="CharStyle14"/>
        </w:rPr>
        <w:t xml:space="preserve">(ресурс </w:t>
      </w:r>
      <w:r>
        <w:rPr>
          <w:rStyle w:val="CharStyle14"/>
          <w:lang w:val="en-US" w:eastAsia="en-US"/>
        </w:rPr>
        <w:t xml:space="preserve">- 30.000), </w:t>
      </w:r>
      <w:r>
        <w:rPr>
          <w:rStyle w:val="CharStyle14"/>
        </w:rPr>
        <w:t xml:space="preserve">производитель: ООО «Катюша Принт», товарный знак: «Катюша» </w:t>
      </w:r>
      <w:r>
        <w:rPr>
          <w:rStyle w:val="CharStyle14"/>
          <w:lang w:val="en-US" w:eastAsia="en-US"/>
        </w:rPr>
        <w:t xml:space="preserve">- 45 </w:t>
      </w:r>
      <w:r>
        <w:rPr>
          <w:rStyle w:val="CharStyle14"/>
        </w:rPr>
        <w:t>штук;</w:t>
      </w:r>
    </w:p>
    <w:p>
      <w:pPr>
        <w:pStyle w:val="Style13"/>
        <w:keepNext w:val="0"/>
        <w:keepLines w:val="0"/>
        <w:widowControl w:val="0"/>
        <w:numPr>
          <w:ilvl w:val="0"/>
          <w:numId w:val="3"/>
        </w:numPr>
        <w:shd w:val="clear" w:color="auto" w:fill="auto"/>
        <w:tabs>
          <w:tab w:pos="1067" w:val="left"/>
        </w:tabs>
        <w:bidi w:val="0"/>
        <w:spacing w:before="0" w:after="0"/>
        <w:ind w:left="0" w:right="0" w:firstLine="720"/>
        <w:jc w:val="both"/>
      </w:pPr>
      <w:r>
        <w:rPr>
          <w:rStyle w:val="CharStyle14"/>
        </w:rPr>
        <w:t xml:space="preserve">Барабан-картридж Катюша рсм247 (ресурс </w:t>
      </w:r>
      <w:r>
        <w:rPr>
          <w:rStyle w:val="CharStyle14"/>
          <w:lang w:val="en-US" w:eastAsia="en-US"/>
        </w:rPr>
        <w:t xml:space="preserve">– 45.000), </w:t>
      </w:r>
      <w:r>
        <w:rPr>
          <w:rStyle w:val="CharStyle14"/>
        </w:rPr>
        <w:t xml:space="preserve">производитель: ООО «Катюша Принт», товарный знак: «Катюша» </w:t>
      </w:r>
      <w:r>
        <w:rPr>
          <w:rStyle w:val="CharStyle14"/>
          <w:lang w:val="en-US" w:eastAsia="en-US"/>
        </w:rPr>
        <w:t xml:space="preserve">- 4 </w:t>
      </w:r>
      <w:r>
        <w:rPr>
          <w:rStyle w:val="CharStyle14"/>
        </w:rPr>
        <w:t>штуки;</w:t>
      </w:r>
    </w:p>
    <w:p>
      <w:pPr>
        <w:pStyle w:val="Style13"/>
        <w:keepNext w:val="0"/>
        <w:keepLines w:val="0"/>
        <w:widowControl w:val="0"/>
        <w:numPr>
          <w:ilvl w:val="0"/>
          <w:numId w:val="3"/>
        </w:numPr>
        <w:shd w:val="clear" w:color="auto" w:fill="auto"/>
        <w:tabs>
          <w:tab w:pos="1067" w:val="left"/>
        </w:tabs>
        <w:bidi w:val="0"/>
        <w:spacing w:before="0" w:after="0"/>
        <w:ind w:left="0" w:right="0" w:firstLine="720"/>
        <w:jc w:val="both"/>
      </w:pPr>
      <w:r>
        <w:rPr>
          <w:rStyle w:val="CharStyle14"/>
        </w:rPr>
        <w:t xml:space="preserve">Тонер-картридж Катюша ТНМ247 (ресурс </w:t>
      </w:r>
      <w:r>
        <w:rPr>
          <w:rStyle w:val="CharStyle14"/>
          <w:lang w:val="en-US" w:eastAsia="en-US"/>
        </w:rPr>
        <w:t xml:space="preserve">– 13.000), </w:t>
      </w:r>
      <w:r>
        <w:rPr>
          <w:rStyle w:val="CharStyle14"/>
        </w:rPr>
        <w:t xml:space="preserve">производитель: ООО «Катюша Принт», товарный знак: «Катюша» </w:t>
      </w:r>
      <w:r>
        <w:rPr>
          <w:rStyle w:val="CharStyle14"/>
          <w:lang w:val="en-US" w:eastAsia="en-US"/>
        </w:rPr>
        <w:t xml:space="preserve">-12 </w:t>
      </w:r>
      <w:r>
        <w:rPr>
          <w:rStyle w:val="CharStyle14"/>
        </w:rPr>
        <w:t>штук.</w:t>
      </w:r>
    </w:p>
    <w:p>
      <w:pPr>
        <w:pStyle w:val="Style13"/>
        <w:keepNext w:val="0"/>
        <w:keepLines w:val="0"/>
        <w:widowControl w:val="0"/>
        <w:shd w:val="clear" w:color="auto" w:fill="auto"/>
        <w:bidi w:val="0"/>
        <w:spacing w:before="0" w:after="0"/>
        <w:ind w:left="0" w:right="0" w:firstLine="720"/>
        <w:jc w:val="both"/>
      </w:pPr>
      <w:r>
        <w:rPr>
          <w:rStyle w:val="CharStyle14"/>
        </w:rPr>
        <w:t xml:space="preserve">В столбце </w:t>
      </w:r>
      <w:r>
        <w:rPr>
          <w:rStyle w:val="CharStyle14"/>
          <w:lang w:val="en-US" w:eastAsia="en-US"/>
        </w:rPr>
        <w:t xml:space="preserve">4 </w:t>
      </w:r>
      <w:r>
        <w:rPr>
          <w:rStyle w:val="CharStyle14"/>
        </w:rPr>
        <w:t xml:space="preserve">раздела </w:t>
      </w:r>
      <w:r>
        <w:rPr>
          <w:rStyle w:val="CharStyle14"/>
          <w:lang w:val="en-US" w:eastAsia="en-US"/>
        </w:rPr>
        <w:t xml:space="preserve">1 </w:t>
      </w:r>
      <w:r>
        <w:rPr>
          <w:rStyle w:val="CharStyle14"/>
        </w:rPr>
        <w:t xml:space="preserve">Описания объекта закупки содержится обоснование, что указание товарного знака без возможности поставки эквивалента установлено в целях обеспечения совместимости с МФУ Катюша </w:t>
      </w:r>
      <w:r>
        <w:rPr>
          <w:rStyle w:val="CharStyle14"/>
          <w:lang w:val="en-US" w:eastAsia="en-US"/>
        </w:rPr>
        <w:t xml:space="preserve">M133, </w:t>
      </w:r>
      <w:r>
        <w:rPr>
          <w:rStyle w:val="CharStyle14"/>
        </w:rPr>
        <w:t>принтером Катюша Р247е, имеющихся у Заказчика и в соответствии с техническими требованиями к МФУ. Поставка эквивалента не допускается в связи с использованием принтера, многофункционального устройства находящегося на гарантийном обслуживании.</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спорные требования указаны в целях необходимости обеспечения совместимости закупаемых товаров с оборудованиями, имеющихся в учреждении и позволяют довести до неопределенного круга лиц сведения о</w:t>
      </w:r>
    </w:p>
    <w:p>
      <w:pPr>
        <w:pStyle w:val="Style13"/>
        <w:keepNext w:val="0"/>
        <w:keepLines w:val="0"/>
        <w:widowControl w:val="0"/>
        <w:shd w:val="clear" w:color="auto" w:fill="auto"/>
        <w:bidi w:val="0"/>
        <w:spacing w:before="0" w:after="0" w:line="288" w:lineRule="auto"/>
        <w:ind w:left="0" w:right="0" w:firstLine="0"/>
        <w:jc w:val="both"/>
      </w:pPr>
      <w:r>
        <w:rPr>
          <w:rStyle w:val="CharStyle14"/>
        </w:rPr>
        <w:t>потребности Заказчика относительно требований к поставляемым товарам, что, в свою очередь, позволит участникам электронного аукциона надлежащим образом оформить заявку на участие в закупке.</w:t>
      </w:r>
    </w:p>
    <w:p>
      <w:pPr>
        <w:pStyle w:val="Style13"/>
        <w:keepNext w:val="0"/>
        <w:keepLines w:val="0"/>
        <w:widowControl w:val="0"/>
        <w:shd w:val="clear" w:color="auto" w:fill="auto"/>
        <w:bidi w:val="0"/>
        <w:spacing w:before="0" w:after="0" w:line="288" w:lineRule="auto"/>
        <w:ind w:left="0" w:right="0" w:firstLine="720"/>
        <w:jc w:val="both"/>
      </w:pPr>
      <w:r>
        <w:rPr>
          <w:rStyle w:val="CharStyle14"/>
        </w:rPr>
        <w:t>На заседании Комиссии Мурманского УФАС России представителем Заказчика были представлены документы, свидетельствующие о том, что имеющееся у Заказчика оборудование находится на гарантии, а в силу содержания руководства пользователя на указанный товар для ее сохранения необходимо использование оригинальных расходных материалов.</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На странице </w:t>
      </w:r>
      <w:r>
        <w:rPr>
          <w:rStyle w:val="CharStyle14"/>
          <w:lang w:val="en-US" w:eastAsia="en-US"/>
        </w:rPr>
        <w:t xml:space="preserve">12 </w:t>
      </w:r>
      <w:r>
        <w:rPr>
          <w:rStyle w:val="CharStyle14"/>
        </w:rPr>
        <w:t>Руководства пользователя МФУ Катюша серии М113 производителем указано: «ООО «Катюша Принт» информирует, что в печатных устройствах под товарным знаком «Катюша» допускается использование только оригинальных расходных материалов «Катюша». Качество печати, ресурс и надежность печатного оборудования под товарным знаком «Катюша» гарантируется только при использовании оригинальных расходных материалов «Катюша».</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На странице </w:t>
      </w:r>
      <w:r>
        <w:rPr>
          <w:rStyle w:val="CharStyle14"/>
          <w:lang w:val="en-US" w:eastAsia="en-US"/>
        </w:rPr>
        <w:t xml:space="preserve">11 </w:t>
      </w:r>
      <w:r>
        <w:rPr>
          <w:rStyle w:val="CharStyle14"/>
        </w:rPr>
        <w:t xml:space="preserve">Руководства пользователя принтера Катюша серии </w:t>
      </w:r>
      <w:r>
        <w:rPr>
          <w:rStyle w:val="CharStyle14"/>
          <w:lang w:val="en-US" w:eastAsia="en-US"/>
        </w:rPr>
        <w:t xml:space="preserve">P247 </w:t>
      </w:r>
      <w:r>
        <w:rPr>
          <w:rStyle w:val="CharStyle14"/>
        </w:rPr>
        <w:t>производителем указана аналогичная информация об использовании оригинальных расходных материалов «Катюша».</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Комиссия Мурманского УФАС России соглашается с доводами представителя Заказчика о том, что закупка «оригинального товара» обоснована действительной потребностью Заказчика, использование оригинальных расходных материалов, служит достижению целей закупки </w:t>
      </w:r>
      <w:r>
        <w:rPr>
          <w:rStyle w:val="CharStyle14"/>
          <w:lang w:val="en-US" w:eastAsia="en-US"/>
        </w:rPr>
        <w:t xml:space="preserve">- </w:t>
      </w:r>
      <w:r>
        <w:rPr>
          <w:rStyle w:val="CharStyle14"/>
        </w:rPr>
        <w:t>обеспечению надежной и безопасной эксплуатации имеющейся техники без утраты гарантий.</w:t>
      </w:r>
    </w:p>
    <w:p>
      <w:pPr>
        <w:pStyle w:val="Style13"/>
        <w:keepNext w:val="0"/>
        <w:keepLines w:val="0"/>
        <w:widowControl w:val="0"/>
        <w:shd w:val="clear" w:color="auto" w:fill="auto"/>
        <w:bidi w:val="0"/>
        <w:spacing w:before="0" w:after="0" w:line="288" w:lineRule="auto"/>
        <w:ind w:left="0" w:right="0" w:firstLine="720"/>
        <w:jc w:val="both"/>
      </w:pPr>
      <w:r>
        <w:rPr>
          <w:rStyle w:val="CharStyle14"/>
        </w:rPr>
        <w:t>Как отмечено ранее, оргтехника, для которой закупаются барабаны-картриджи и тонер-картриджи в рамках данного электронного аукциона, находится на гарантийном обслуживании.</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Таким образом, эквивалентность не применяется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Комиссия Мурманского УФАС России приходит к выводу о том, что требование к типу барабан-картридж и тонер-картридж в данном случае является обоснованным и установлено Заказчиком с учетом положения подпункта «в»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а, следовательно, является надлежащим.</w:t>
      </w:r>
    </w:p>
    <w:p>
      <w:pPr>
        <w:pStyle w:val="Style13"/>
        <w:keepNext w:val="0"/>
        <w:keepLines w:val="0"/>
        <w:widowControl w:val="0"/>
        <w:shd w:val="clear" w:color="auto" w:fill="auto"/>
        <w:bidi w:val="0"/>
        <w:spacing w:before="0" w:after="300" w:line="288" w:lineRule="auto"/>
        <w:ind w:left="0" w:right="0" w:firstLine="720"/>
        <w:jc w:val="both"/>
      </w:pPr>
      <w:r>
        <w:rPr>
          <w:rStyle w:val="CharStyle14"/>
        </w:rPr>
        <w:t>Довод Заявителя признается необоснованным.</w:t>
      </w:r>
    </w:p>
    <w:p>
      <w:pPr>
        <w:pStyle w:val="Style13"/>
        <w:keepNext w:val="0"/>
        <w:keepLines w:val="0"/>
        <w:widowControl w:val="0"/>
        <w:shd w:val="clear" w:color="auto" w:fill="auto"/>
        <w:bidi w:val="0"/>
        <w:spacing w:before="0" w:after="0"/>
        <w:ind w:left="0" w:right="0" w:firstLine="720"/>
        <w:jc w:val="both"/>
      </w:pPr>
      <w:r>
        <w:rPr>
          <w:rStyle w:val="CharStyle14"/>
        </w:rPr>
        <w:t>Относительно довода о несоблюдении требования об указании характеристик товара российского происхождения, Комиссия Мурманского УФАС России установила следующие.</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пунктом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w:t>
      </w:r>
    </w:p>
    <w:p>
      <w:pPr>
        <w:pStyle w:val="Style13"/>
        <w:keepNext w:val="0"/>
        <w:keepLines w:val="0"/>
        <w:widowControl w:val="0"/>
        <w:shd w:val="clear" w:color="auto" w:fill="auto"/>
        <w:bidi w:val="0"/>
        <w:spacing w:before="0" w:after="0" w:line="288" w:lineRule="auto"/>
        <w:ind w:left="0" w:right="0" w:firstLine="0"/>
        <w:jc w:val="both"/>
      </w:pPr>
      <w:r>
        <w:rPr>
          <w:rStyle w:val="CharStyle14"/>
        </w:rPr>
        <w:t xml:space="preserve">подписью лица, имеющего право действовать от имени заказчика, и размещает в ЕИС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установлено, что Правительство Российской Федерации вправе с учетом положений части </w:t>
      </w:r>
      <w:r>
        <w:rPr>
          <w:rStyle w:val="CharStyle14"/>
          <w:lang w:val="en-US" w:eastAsia="en-US"/>
        </w:rPr>
        <w:t xml:space="preserve">3 </w:t>
      </w:r>
      <w:r>
        <w:rPr>
          <w:rStyle w:val="CharStyle14"/>
        </w:rPr>
        <w:t xml:space="preserve">статьи </w:t>
      </w:r>
      <w:r>
        <w:rPr>
          <w:rStyle w:val="CharStyle14"/>
          <w:lang w:val="en-US" w:eastAsia="en-US"/>
        </w:rPr>
        <w:t xml:space="preserve">14 </w:t>
      </w:r>
      <w:r>
        <w:rPr>
          <w:rStyle w:val="CharStyle14"/>
        </w:rPr>
        <w:t>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В соответствии с указанной нормой Закона о контрактной системе Правительством Российской Федерации принято Постановление </w:t>
      </w:r>
      <w:r>
        <w:rPr>
          <w:rStyle w:val="CharStyle14"/>
          <w:lang w:val="en-US" w:eastAsia="en-US"/>
        </w:rPr>
        <w:t>№ 1875.</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 xml:space="preserve">при осуществлении закупок установлено,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xml:space="preserve">№ 2 </w:t>
      </w:r>
      <w:r>
        <w:rPr>
          <w:rStyle w:val="CharStyle14"/>
        </w:rPr>
        <w:t xml:space="preserve">к Постановлению </w:t>
      </w:r>
      <w:r>
        <w:rPr>
          <w:rStyle w:val="CharStyle14"/>
          <w:lang w:val="en-US" w:eastAsia="en-US"/>
        </w:rPr>
        <w:t>№ 1875.</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Подпунктом «б» пункта </w:t>
      </w:r>
      <w:r>
        <w:rPr>
          <w:rStyle w:val="CharStyle14"/>
          <w:lang w:val="en-US" w:eastAsia="en-US"/>
        </w:rPr>
        <w:t xml:space="preserve">6 </w:t>
      </w:r>
      <w:r>
        <w:rPr>
          <w:rStyle w:val="CharStyle14"/>
        </w:rPr>
        <w:t xml:space="preserve">Постановления </w:t>
      </w:r>
      <w:r>
        <w:rPr>
          <w:rStyle w:val="CharStyle14"/>
          <w:lang w:val="en-US" w:eastAsia="en-US"/>
        </w:rPr>
        <w:t xml:space="preserve">№ 1875 </w:t>
      </w:r>
      <w:r>
        <w:rPr>
          <w:rStyle w:val="CharStyle14"/>
        </w:rPr>
        <w:t xml:space="preserve">установлено, что ограничение, предусмотренное 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может не применяться заказчиками при осуществлении закупок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88" w:lineRule="auto"/>
        <w:ind w:left="0" w:right="0" w:firstLine="720"/>
        <w:jc w:val="both"/>
      </w:pPr>
      <w:r>
        <w:rPr>
          <w:rStyle w:val="CharStyle14"/>
        </w:rPr>
        <w:t>Согласно извещению, объектом закупки является поставка оригинальных расходных материалов для печатной техники Катюша.</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Закупаемый Заказчиком товар входит в Перечень товаров, в отношении которых устанавливается ограничение в соответствии с 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 xml:space="preserve">(позиция </w:t>
      </w:r>
      <w:r>
        <w:rPr>
          <w:rStyle w:val="CharStyle14"/>
          <w:lang w:val="en-US" w:eastAsia="en-US"/>
        </w:rPr>
        <w:t xml:space="preserve">205 </w:t>
      </w:r>
      <w:r>
        <w:rPr>
          <w:rStyle w:val="CharStyle14"/>
        </w:rPr>
        <w:t xml:space="preserve">приложения </w:t>
      </w:r>
      <w:r>
        <w:rPr>
          <w:rStyle w:val="CharStyle14"/>
          <w:lang w:val="en-US" w:eastAsia="en-US"/>
        </w:rPr>
        <w:t xml:space="preserve">№ 2 </w:t>
      </w:r>
      <w:r>
        <w:rPr>
          <w:rStyle w:val="CharStyle14"/>
        </w:rPr>
        <w:t xml:space="preserve">Постановления </w:t>
      </w:r>
      <w:r>
        <w:rPr>
          <w:rStyle w:val="CharStyle14"/>
          <w:lang w:val="en-US" w:eastAsia="en-US"/>
        </w:rPr>
        <w:t>№ 1875).</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Таким образом, в рассматриваемом случае ограничение в соответствии с 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не применяется на основании подпункта «б»</w:t>
      </w:r>
      <w:r>
        <w:br w:type="page"/>
      </w:r>
    </w:p>
    <w:p>
      <w:pPr>
        <w:pStyle w:val="Style13"/>
        <w:keepNext w:val="0"/>
        <w:keepLines w:val="0"/>
        <w:widowControl w:val="0"/>
        <w:shd w:val="clear" w:color="auto" w:fill="auto"/>
        <w:bidi w:val="0"/>
        <w:spacing w:before="0" w:after="0" w:line="288" w:lineRule="auto"/>
        <w:ind w:left="0" w:right="0" w:firstLine="0"/>
        <w:jc w:val="both"/>
      </w:pPr>
      <w:r>
        <w:rPr>
          <w:rStyle w:val="CharStyle14"/>
        </w:rPr>
        <w:t xml:space="preserve">пункта </w:t>
      </w:r>
      <w:r>
        <w:rPr>
          <w:rStyle w:val="CharStyle14"/>
          <w:lang w:val="en-US" w:eastAsia="en-US"/>
        </w:rPr>
        <w:t xml:space="preserve">6 </w:t>
      </w:r>
      <w:r>
        <w:rPr>
          <w:rStyle w:val="CharStyle14"/>
        </w:rPr>
        <w:t xml:space="preserve">Постановления </w:t>
      </w:r>
      <w:r>
        <w:rPr>
          <w:rStyle w:val="CharStyle14"/>
          <w:lang w:val="en-US" w:eastAsia="en-US"/>
        </w:rPr>
        <w:t xml:space="preserve">№ 1875 </w:t>
      </w:r>
      <w:r>
        <w:rPr>
          <w:rStyle w:val="CharStyle14"/>
        </w:rPr>
        <w:t>ввиду закупки товаров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88" w:lineRule="auto"/>
        <w:ind w:left="0" w:right="0" w:firstLine="720"/>
        <w:jc w:val="both"/>
      </w:pPr>
      <w:r>
        <w:rPr>
          <w:rStyle w:val="CharStyle14"/>
        </w:rPr>
        <w:t>При установленных обстоятельствах Комиссия Мурманского УФАС России приходит к выводу, что доводы жалобы не находят своего подтверждения и являются необоснованными.</w:t>
      </w:r>
    </w:p>
    <w:p>
      <w:pPr>
        <w:pStyle w:val="Style13"/>
        <w:keepNext w:val="0"/>
        <w:keepLines w:val="0"/>
        <w:widowControl w:val="0"/>
        <w:shd w:val="clear" w:color="auto" w:fill="auto"/>
        <w:bidi w:val="0"/>
        <w:spacing w:before="0" w:after="0" w:line="288" w:lineRule="auto"/>
        <w:ind w:left="0" w:right="0" w:firstLine="720"/>
        <w:jc w:val="both"/>
      </w:pPr>
      <w:r>
        <w:rPr>
          <w:rStyle w:val="CharStyle14"/>
        </w:rPr>
        <w:t xml:space="preserve">Комиссия Мурманского УФАС России, руководствуясь статьями </w:t>
      </w:r>
      <w:r>
        <w:rPr>
          <w:rStyle w:val="CharStyle14"/>
          <w:lang w:val="en-US" w:eastAsia="en-US"/>
        </w:rPr>
        <w:t xml:space="preserve">99, 106 </w:t>
      </w:r>
      <w:r>
        <w:rPr>
          <w:rStyle w:val="CharStyle14"/>
        </w:rPr>
        <w:t>Закона о контрактной системе,</w:t>
      </w:r>
    </w:p>
    <w:p>
      <w:pPr>
        <w:pStyle w:val="Style13"/>
        <w:keepNext w:val="0"/>
        <w:keepLines w:val="0"/>
        <w:widowControl w:val="0"/>
        <w:shd w:val="clear" w:color="auto" w:fill="auto"/>
        <w:bidi w:val="0"/>
        <w:spacing w:before="0" w:after="300" w:line="288" w:lineRule="auto"/>
        <w:ind w:left="0" w:right="0" w:firstLine="0"/>
        <w:jc w:val="center"/>
      </w:pPr>
      <w:r>
        <w:rPr>
          <w:rStyle w:val="CharStyle14"/>
        </w:rPr>
        <w:t>РЕШИЛА:</w:t>
      </w:r>
    </w:p>
    <w:p>
      <w:pPr>
        <w:pStyle w:val="Style13"/>
        <w:keepNext w:val="0"/>
        <w:keepLines w:val="0"/>
        <w:widowControl w:val="0"/>
        <w:shd w:val="clear" w:color="auto" w:fill="auto"/>
        <w:bidi w:val="0"/>
        <w:spacing w:before="0" w:after="300"/>
        <w:ind w:left="0" w:right="0" w:firstLine="720"/>
        <w:jc w:val="both"/>
      </w:pPr>
      <w:r>
        <w:rPr>
          <w:rStyle w:val="CharStyle14"/>
        </w:rPr>
        <w:t xml:space="preserve">Признать жалобу Общества с ограниченной ответственностью «Квазар» на действия Заказчика </w:t>
      </w:r>
      <w:r>
        <w:rPr>
          <w:rStyle w:val="CharStyle14"/>
          <w:lang w:val="en-US" w:eastAsia="en-US"/>
        </w:rPr>
        <w:t xml:space="preserve">- </w:t>
      </w:r>
      <w:r>
        <w:rPr>
          <w:rStyle w:val="CharStyle14"/>
        </w:rPr>
        <w:t xml:space="preserve">Государственного областного бюджетного учреждения здравоохранения «Мурманский областной клинический многопрофильный центр», Уполномоченного органа </w:t>
      </w:r>
      <w:r>
        <w:rPr>
          <w:rStyle w:val="CharStyle14"/>
          <w:lang w:val="en-US" w:eastAsia="en-US"/>
        </w:rPr>
        <w:t xml:space="preserve">– </w:t>
      </w:r>
      <w:r>
        <w:rPr>
          <w:rStyle w:val="CharStyle14"/>
        </w:rPr>
        <w:t xml:space="preserve">Комитета по конкурентной политике Мурманской области при проведении электронного аукциона на поставку оригинальных расходных материалов для печатной техники Катюша, реестровый номер извещения </w:t>
      </w:r>
      <w:r>
        <w:rPr>
          <w:rStyle w:val="CharStyle14"/>
          <w:lang w:val="en-US" w:eastAsia="en-US"/>
        </w:rPr>
        <w:t xml:space="preserve">0149200002326002151, </w:t>
      </w:r>
      <w:r>
        <w:rPr>
          <w:rStyle w:val="CharStyle14"/>
        </w:rPr>
        <w:t>необоснованной.</w:t>
      </w:r>
    </w:p>
    <w:p>
      <w:pPr>
        <w:pStyle w:val="Style13"/>
        <w:keepNext w:val="0"/>
        <w:keepLines w:val="0"/>
        <w:widowControl w:val="0"/>
        <w:shd w:val="clear" w:color="auto" w:fill="auto"/>
        <w:bidi w:val="0"/>
        <w:spacing w:before="0" w:after="0"/>
        <w:ind w:left="0" w:right="0" w:firstLine="720"/>
        <w:jc w:val="both"/>
      </w:pPr>
      <w:r>
        <w:rPr>
          <w:rStyle w:val="CharStyle14"/>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1076" w:right="828" w:bottom="1222" w:left="1103" w:header="0" w:footer="3" w:gutter="0"/>
          <w:cols w:space="720"/>
          <w:noEndnote/>
          <w:rtlGutter w:val="0"/>
          <w:docGrid w:linePitch="360"/>
        </w:sectPr>
      </w:pPr>
      <w:r>
        <mc:AlternateContent>
          <mc:Choice Requires="wps">
            <w:drawing>
              <wp:anchor distT="152400" distB="210185" distL="0" distR="0" simplePos="0" relativeHeight="125829380" behindDoc="0" locked="0" layoutInCell="1" allowOverlap="1">
                <wp:simplePos x="0" y="0"/>
                <wp:positionH relativeFrom="page">
                  <wp:posOffset>736600</wp:posOffset>
                </wp:positionH>
                <wp:positionV relativeFrom="paragraph">
                  <wp:posOffset>152400</wp:posOffset>
                </wp:positionV>
                <wp:extent cx="1791970" cy="243840"/>
                <wp:wrapTopAndBottom/>
                <wp:docPr id="7" name="Shape 7"/>
                <a:graphic xmlns:a="http://schemas.openxmlformats.org/drawingml/2006/main">
                  <a:graphicData uri="http://schemas.microsoft.com/office/word/2010/wordprocessingShape">
                    <wps:wsp>
                      <wps:cNvSpPr txBox="1"/>
                      <wps:spPr>
                        <a:xfrm>
                          <a:ext cx="1791970"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pt;margin-top:12.pt;width:141.09999999999999pt;height:19.199999999999999pt;z-index:-125829373;mso-wrap-distance-left:0;mso-wrap-distance-top:12.pt;mso-wrap-distance-right:0;mso-wrap-distance-bottom:16.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40665" distB="0" distL="0" distR="1804670" simplePos="0" relativeHeight="125829382" behindDoc="0" locked="0" layoutInCell="1" allowOverlap="1">
            <wp:simplePos x="0" y="0"/>
            <wp:positionH relativeFrom="page">
              <wp:posOffset>2846070</wp:posOffset>
            </wp:positionH>
            <wp:positionV relativeFrom="paragraph">
              <wp:posOffset>240665</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3242310</wp:posOffset>
                </wp:positionH>
                <wp:positionV relativeFrom="paragraph">
                  <wp:posOffset>310515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55.30000000000001pt;margin-top:24.44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210185" distL="0" distR="0" simplePos="0" relativeHeight="125829383" behindDoc="0" locked="0" layoutInCell="1" allowOverlap="1">
                <wp:simplePos x="0" y="0"/>
                <wp:positionH relativeFrom="page">
                  <wp:posOffset>5802630</wp:posOffset>
                </wp:positionH>
                <wp:positionV relativeFrom="paragraph">
                  <wp:posOffset>152400</wp:posOffset>
                </wp:positionV>
                <wp:extent cx="1200785" cy="243840"/>
                <wp:wrapTopAndBottom/>
                <wp:docPr id="13" name="Shape 13"/>
                <a:graphic xmlns:a="http://schemas.openxmlformats.org/drawingml/2006/main">
                  <a:graphicData uri="http://schemas.microsoft.com/office/word/2010/wordprocessingShape">
                    <wps:wsp>
                      <wps:cNvSpPr txBox="1"/>
                      <wps:spPr>
                        <a:xfrm>
                          <a:ext cx="120078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М.Е. Прохорова</w:t>
                            </w:r>
                          </w:p>
                        </w:txbxContent>
                      </wps:txbx>
                      <wps:bodyPr wrap="none" lIns="0" tIns="0" rIns="0" bIns="0">
                        <a:noAutoFit/>
                      </wps:bodyPr>
                    </wps:wsp>
                  </a:graphicData>
                </a:graphic>
              </wp:anchor>
            </w:drawing>
          </mc:Choice>
          <mc:Fallback>
            <w:pict>
              <v:shape id="_x0000_s1039" type="#_x0000_t202" style="position:absolute;margin-left:456.90000000000003pt;margin-top:12.pt;width:94.549999999999997pt;height:19.199999999999999pt;z-index:-125829370;mso-wrap-distance-left:0;mso-wrap-distance-top:12.pt;mso-wrap-distance-right:0;mso-wrap-distance-bottom:16.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М.Е. Прохорова</w:t>
                      </w:r>
                    </w:p>
                  </w:txbxContent>
                </v:textbox>
                <w10:wrap type="topAndBottom" anchorx="page"/>
              </v:shape>
            </w:pict>
          </mc:Fallback>
        </mc:AlternateContent>
      </w:r>
    </w:p>
    <w:p>
      <w:pPr>
        <w:pStyle w:val="Style20"/>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Прохорова Маргарита Евгеньевна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25355D0E55E6E68040CFFB97835A66F3</w:t>
      </w:r>
    </w:p>
    <w:p>
      <w:pPr>
        <w:pStyle w:val="Style22"/>
        <w:keepNext w:val="0"/>
        <w:keepLines w:val="0"/>
        <w:widowControl w:val="0"/>
        <w:shd w:val="clear" w:color="auto" w:fill="auto"/>
        <w:bidi w:val="0"/>
        <w:spacing w:before="0" w:after="400" w:line="240" w:lineRule="auto"/>
        <w:ind w:right="0" w:firstLine="0"/>
        <w:jc w:val="left"/>
      </w:pPr>
      <w:r>
        <w:rPr>
          <w:rStyle w:val="CharStyle23"/>
        </w:rPr>
        <w:t xml:space="preserve">Действителен с 29.01.2026 </w:t>
      </w:r>
      <w:r>
        <w:rPr>
          <w:rStyle w:val="CharStyle23"/>
          <w:color w:val="5D5D5D"/>
        </w:rPr>
        <w:t xml:space="preserve">по </w:t>
      </w:r>
      <w:r>
        <w:rPr>
          <w:rStyle w:val="CharStyle23"/>
        </w:rPr>
        <w:t>24.04.2027</w:t>
      </w:r>
    </w:p>
    <w:p>
      <w:pPr>
        <w:pStyle w:val="Style13"/>
        <w:keepNext w:val="0"/>
        <w:keepLines w:val="0"/>
        <w:widowControl w:val="0"/>
        <w:shd w:val="clear" w:color="auto" w:fill="auto"/>
        <w:bidi w:val="0"/>
        <w:spacing w:before="0" w:after="10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390" w:line="240" w:lineRule="auto"/>
        <w:ind w:left="1700" w:right="0" w:firstLine="0"/>
        <w:jc w:val="left"/>
      </w:pPr>
      <w:r>
        <w:drawing>
          <wp:anchor distT="0" distB="0" distL="114300" distR="1900555" simplePos="0" relativeHeight="125829385" behindDoc="0" locked="0" layoutInCell="1" allowOverlap="1">
            <wp:simplePos x="0" y="0"/>
            <wp:positionH relativeFrom="page">
              <wp:posOffset>2821940</wp:posOffset>
            </wp:positionH>
            <wp:positionV relativeFrom="paragraph">
              <wp:posOffset>50800</wp:posOffset>
            </wp:positionV>
            <wp:extent cx="359410" cy="3962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3242310</wp:posOffset>
                </wp:positionH>
                <wp:positionV relativeFrom="paragraph">
                  <wp:posOffset>135890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5.30000000000001pt;margin-top:10.7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А.А. Конох</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Конох Анна Александровна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00EF5DE6AB77D56E449D807E3DF8B478A</w:t>
      </w:r>
      <w:r>
        <w:rPr>
          <w:rStyle w:val="CharStyle23"/>
          <w:lang w:val="en-US" w:eastAsia="en-US"/>
        </w:rPr>
        <w:t>7</w:t>
      </w:r>
    </w:p>
    <w:p>
      <w:pPr>
        <w:pStyle w:val="Style22"/>
        <w:keepNext w:val="0"/>
        <w:keepLines w:val="0"/>
        <w:widowControl w:val="0"/>
        <w:shd w:val="clear" w:color="auto" w:fill="auto"/>
        <w:bidi w:val="0"/>
        <w:spacing w:before="0" w:after="400" w:line="240" w:lineRule="auto"/>
        <w:ind w:right="0" w:firstLine="0"/>
        <w:jc w:val="left"/>
      </w:pPr>
      <w:r>
        <w:rPr>
          <w:rStyle w:val="CharStyle23"/>
        </w:rPr>
        <w:t xml:space="preserve">Действителен с 19.01.2026 </w:t>
      </w:r>
      <w:r>
        <w:rPr>
          <w:rStyle w:val="CharStyle23"/>
          <w:color w:val="5D5D5D"/>
        </w:rPr>
        <w:t xml:space="preserve">по </w:t>
      </w:r>
      <w:r>
        <w:rPr>
          <w:rStyle w:val="CharStyle23"/>
        </w:rPr>
        <w:t>14.04.2027</w:t>
      </w:r>
    </w:p>
    <w:p>
      <w:pPr>
        <w:pStyle w:val="Style13"/>
        <w:keepNext w:val="0"/>
        <w:keepLines w:val="0"/>
        <w:widowControl w:val="0"/>
        <w:shd w:val="clear" w:color="auto" w:fill="auto"/>
        <w:bidi w:val="0"/>
        <w:spacing w:before="0" w:after="390" w:line="240" w:lineRule="auto"/>
        <w:ind w:left="1360" w:right="0" w:firstLine="0"/>
        <w:jc w:val="left"/>
      </w:pPr>
      <w:r>
        <w:drawing>
          <wp:anchor distT="0" distB="0" distL="114300" distR="1931035" simplePos="0" relativeHeight="125829386" behindDoc="0" locked="0" layoutInCell="1" allowOverlap="1">
            <wp:simplePos x="0" y="0"/>
            <wp:positionH relativeFrom="page">
              <wp:posOffset>2852420</wp:posOffset>
            </wp:positionH>
            <wp:positionV relativeFrom="paragraph">
              <wp:posOffset>88900</wp:posOffset>
            </wp:positionV>
            <wp:extent cx="298450" cy="34734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3242310</wp:posOffset>
                </wp:positionH>
                <wp:positionV relativeFrom="paragraph">
                  <wp:posOffset>149860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55.30000000000001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А.С. Цветкова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Цветкова Анна Сергеевна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00ED17EA5E76EC688FDB4E2D057C4D1</w:t>
      </w:r>
      <w:r>
        <w:rPr>
          <w:rStyle w:val="CharStyle23"/>
          <w:color w:val="292929"/>
        </w:rPr>
        <w:t>ВА</w:t>
      </w:r>
    </w:p>
    <w:p>
      <w:pPr>
        <w:pStyle w:val="Style22"/>
        <w:keepNext w:val="0"/>
        <w:keepLines w:val="0"/>
        <w:widowControl w:val="0"/>
        <w:shd w:val="clear" w:color="auto" w:fill="auto"/>
        <w:bidi w:val="0"/>
        <w:spacing w:before="0" w:after="360" w:line="240" w:lineRule="auto"/>
        <w:ind w:right="0" w:firstLine="0"/>
        <w:jc w:val="left"/>
      </w:pPr>
      <w:r>
        <w:rPr>
          <w:rStyle w:val="CharStyle23"/>
        </w:rPr>
        <w:t xml:space="preserve">Действителен с 26.01.2026 </w:t>
      </w:r>
      <w:r>
        <w:rPr>
          <w:rStyle w:val="CharStyle23"/>
          <w:color w:val="5D5D5D"/>
        </w:rPr>
        <w:t xml:space="preserve">по </w:t>
      </w:r>
      <w:r>
        <w:rPr>
          <w:rStyle w:val="CharStyle23"/>
        </w:rPr>
        <w:t>21.04.2027</w:t>
      </w:r>
    </w:p>
    <w:p>
      <w:pPr>
        <w:pStyle w:val="Style8"/>
        <w:keepNext w:val="0"/>
        <w:keepLines w:val="0"/>
        <w:widowControl w:val="0"/>
        <w:shd w:val="clear" w:color="auto" w:fill="auto"/>
        <w:bidi w:val="0"/>
        <w:spacing w:before="0" w:after="0" w:line="240" w:lineRule="auto"/>
        <w:ind w:left="0" w:right="0" w:firstLine="0"/>
        <w:jc w:val="left"/>
        <w:rPr>
          <w:sz w:val="20"/>
          <w:szCs w:val="20"/>
        </w:rPr>
      </w:pPr>
      <w:r>
        <w:rPr>
          <w:rStyle w:val="CharStyle9"/>
          <w:color w:val="000000"/>
          <w:sz w:val="20"/>
          <w:szCs w:val="20"/>
        </w:rPr>
        <w:t>Исп.Цветкова А.С.</w:t>
      </w:r>
    </w:p>
    <w:p>
      <w:pPr>
        <w:pStyle w:val="Style8"/>
        <w:keepNext w:val="0"/>
        <w:keepLines w:val="0"/>
        <w:widowControl w:val="0"/>
        <w:shd w:val="clear" w:color="auto" w:fill="auto"/>
        <w:bidi w:val="0"/>
        <w:spacing w:before="0" w:after="100" w:line="240" w:lineRule="auto"/>
        <w:ind w:left="0" w:right="0" w:firstLine="0"/>
        <w:jc w:val="left"/>
        <w:rPr>
          <w:sz w:val="20"/>
          <w:szCs w:val="20"/>
        </w:rPr>
      </w:pPr>
      <w:r>
        <w:rPr>
          <w:rStyle w:val="CharStyle9"/>
          <w:color w:val="000000"/>
          <w:sz w:val="20"/>
          <w:szCs w:val="20"/>
        </w:rPr>
        <w:t>тел.68-50-55,вн.051-112</w:t>
      </w:r>
    </w:p>
    <w:sectPr>
      <w:footnotePr>
        <w:pos w:val="pageBottom"/>
        <w:numFmt w:val="decimal"/>
        <w:numRestart w:val="continuous"/>
      </w:footnotePr>
      <w:type w:val="continuous"/>
      <w:pgSz w:w="11900" w:h="16840"/>
      <w:pgMar w:top="1105" w:right="824" w:bottom="1105"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9991725</wp:posOffset>
              </wp:positionV>
              <wp:extent cx="648970" cy="125095"/>
              <wp:wrapNone/>
              <wp:docPr id="1" name="Shape 1"/>
              <a:graphic xmlns:a="http://schemas.openxmlformats.org/drawingml/2006/main">
                <a:graphicData uri="http://schemas.microsoft.com/office/word/2010/wordprocessingShape">
                  <wps:wsp>
                    <wps:cNvSpPr txBox="1"/>
                    <wps:spPr>
                      <a:xfrm>
                        <a:ext cx="6489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2026-2571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6.75pt;width:51.1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48970" cy="125095"/>
              <wp:wrapNone/>
              <wp:docPr id="3" name="Shape 3"/>
              <a:graphic xmlns:a="http://schemas.openxmlformats.org/drawingml/2006/main">
                <a:graphicData uri="http://schemas.microsoft.com/office/word/2010/wordprocessingShape">
                  <wps:wsp>
                    <wps:cNvSpPr txBox="1"/>
                    <wps:spPr>
                      <a:xfrm>
                        <a:ext cx="6489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2026-2571</w:t>
                          </w:r>
                        </w:p>
                      </w:txbxContent>
                    </wps:txbx>
                    <wps:bodyPr wrap="none" lIns="0" tIns="0" rIns="0" bIns="0">
                      <a:spAutoFit/>
                    </wps:bodyPr>
                  </wps:wsp>
                </a:graphicData>
              </a:graphic>
            </wp:anchor>
          </w:drawing>
        </mc:Choice>
        <mc:Fallback>
          <w:pict>
            <v:shape id="_x0000_s1029" type="#_x0000_t202" style="position:absolute;margin-left:56.75pt;margin-top:775.70000000000005pt;width:51.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w w:val="50"/>
      <w:sz w:val="66"/>
      <w:szCs w:val="66"/>
      <w:u w:val="none"/>
      <w:lang w:val="en-US" w:eastAsia="en-US"/>
    </w:rPr>
  </w:style>
  <w:style w:type="character" w:customStyle="1" w:styleId="CharStyle21">
    <w:name w:val="Body text (5)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paragraph" w:customStyle="1" w:styleId="Style2">
    <w:name w:val="Body text (3)"/>
    <w:basedOn w:val="Normal"/>
    <w:link w:val="CharStyle3"/>
    <w:pPr>
      <w:widowControl w:val="0"/>
      <w:shd w:val="clear" w:color="auto" w:fill="auto"/>
      <w:spacing w:after="30" w:line="295"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50" w:line="254" w:lineRule="auto"/>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spacing w:line="28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spacing w:after="300"/>
      <w:outlineLvl w:val="0"/>
    </w:pPr>
    <w:rPr>
      <w:rFonts w:ascii="Arial" w:eastAsia="Arial" w:hAnsi="Arial" w:cs="Arial"/>
      <w:b w:val="0"/>
      <w:bCs w:val="0"/>
      <w:i w:val="0"/>
      <w:iCs w:val="0"/>
      <w:smallCaps w:val="0"/>
      <w:strike w:val="0"/>
      <w:w w:val="50"/>
      <w:sz w:val="66"/>
      <w:szCs w:val="66"/>
      <w:u w:val="none"/>
      <w:lang w:val="en-US" w:eastAsia="en-US"/>
    </w:rPr>
  </w:style>
  <w:style w:type="paragraph" w:customStyle="1" w:styleId="Style20">
    <w:name w:val="Body text (5)"/>
    <w:basedOn w:val="Normal"/>
    <w:link w:val="CharStyle21"/>
    <w:pPr>
      <w:widowControl w:val="0"/>
      <w:shd w:val="clear" w:color="auto" w:fill="auto"/>
      <w:spacing w:after="100"/>
      <w:ind w:left="408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36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