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8.05.2026</w:t>
      </w:r>
      <w:r>
        <w:fldChar w:fldCharType="end"/>
      </w:r>
      <w:r>
        <w:rPr>
          <w:rStyle w:val="CharStyle10"/>
        </w:rPr>
        <w:tab/>
        <w:t>№ 20969/26</w:t>
      </w:r>
      <w:bookmarkEnd w:id="0"/>
    </w:p>
    <w:p>
      <w:pPr>
        <w:pStyle w:val="Style11"/>
        <w:keepNext w:val="0"/>
        <w:keepLines w:val="0"/>
        <w:widowControl w:val="0"/>
        <w:shd w:val="clear" w:color="auto" w:fill="auto"/>
        <w:bidi w:val="0"/>
        <w:spacing w:before="0" w:after="0" w:line="480" w:lineRule="auto"/>
        <w:ind w:left="0" w:right="0" w:firstLine="0"/>
        <w:jc w:val="left"/>
      </w:pPr>
      <w:r>
        <w:rPr>
          <w:rStyle w:val="CharStyle12"/>
        </w:rPr>
        <w:t xml:space="preserve">ФГБУ НЦСМ ФМБА России </w:t>
      </w:r>
      <w:r>
        <w:fldChar w:fldCharType="begin"/>
      </w:r>
      <w:r>
        <w:rPr/>
        <w:instrText> HYPERLINK "mailto:odo_csm@sportfmba.ru" </w:instrText>
      </w:r>
      <w:r>
        <w:fldChar w:fldCharType="separate"/>
      </w:r>
      <w:r>
        <w:rPr>
          <w:rStyle w:val="CharStyle12"/>
          <w:lang w:val="en-US" w:eastAsia="en-US"/>
        </w:rPr>
        <w:t>odo_csm@sportfmba.ru</w:t>
      </w:r>
      <w:r>
        <w:fldChar w:fldCharType="end"/>
      </w:r>
      <w:r>
        <w:rPr>
          <w:rStyle w:val="CharStyle12"/>
          <w:lang w:val="en-US" w:eastAsia="en-US"/>
        </w:rPr>
        <w:t xml:space="preserve"> </w:t>
      </w:r>
      <w:r>
        <w:rPr>
          <w:rStyle w:val="CharStyle12"/>
        </w:rPr>
        <w:t>ИП Кравченко А.В.</w:t>
      </w:r>
    </w:p>
    <w:p>
      <w:pPr>
        <w:pStyle w:val="Style11"/>
        <w:keepNext w:val="0"/>
        <w:keepLines w:val="0"/>
        <w:widowControl w:val="0"/>
        <w:shd w:val="clear" w:color="auto" w:fill="auto"/>
        <w:bidi w:val="0"/>
        <w:spacing w:before="0" w:after="0" w:line="48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990" w:bottom="1294" w:left="1293" w:header="0" w:footer="3" w:gutter="0"/>
          <w:pgNumType w:start="1"/>
          <w:cols w:num="2" w:space="1261"/>
          <w:noEndnote/>
          <w:titlePg/>
          <w:rtlGutter w:val="0"/>
          <w:docGrid w:linePitch="360"/>
        </w:sectPr>
      </w:pPr>
      <w:r>
        <w:fldChar w:fldCharType="begin"/>
      </w:r>
      <w:r>
        <w:rPr/>
        <w:instrText> HYPERLINK "mailto:info@gosfarm.ru" </w:instrText>
      </w:r>
      <w:r>
        <w:fldChar w:fldCharType="separate"/>
      </w:r>
      <w:r>
        <w:rPr>
          <w:rStyle w:val="CharStyle12"/>
          <w:lang w:val="en-US" w:eastAsia="en-US"/>
        </w:rPr>
        <w:t>info@gosfarm.ru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9" w:right="0" w:bottom="1188"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077/06/105-6015/2026 </w:t>
      </w:r>
      <w:r>
        <w:rPr>
          <w:rStyle w:val="CharStyle12"/>
          <w:b/>
          <w:bCs/>
        </w:rPr>
        <w:t>о нарушении</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25400</wp:posOffset>
                </wp:positionV>
                <wp:extent cx="1322705" cy="624840"/>
                <wp:wrapSquare wrapText="right"/>
                <wp:docPr id="8" name="Shape 8"/>
                <a:graphic xmlns:a="http://schemas.openxmlformats.org/drawingml/2006/main">
                  <a:graphicData uri="http://schemas.microsoft.com/office/word/2010/wordprocessingShape">
                    <wps:wsp>
                      <wps:cNvSpPr txBox="1"/>
                      <wps:spPr>
                        <a:xfrm>
                          <a:ext cx="1322705" cy="624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13.05.2026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wps:txbx>
                      <wps:bodyPr lIns="0" tIns="0" rIns="0" bIns="0">
                        <a:noAutoFit/>
                      </wps:bodyPr>
                    </wps:wsp>
                  </a:graphicData>
                </a:graphic>
              </wp:anchor>
            </w:drawing>
          </mc:Choice>
          <mc:Fallback>
            <w:pict>
              <v:shape id="_x0000_s1034" type="#_x0000_t202" style="position:absolute;margin-left:55.550000000000004pt;margin-top:2.pt;width:104.15000000000001pt;height:49.200000000000003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13.05.2026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v:textbox>
                <w10:wrap type="square" side="right" anchorx="page"/>
              </v:shape>
            </w:pict>
          </mc:Fallback>
        </mc:AlternateContent>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0"/>
        <w:jc w:val="both"/>
      </w:pPr>
      <w:r>
        <w:rPr>
          <w:rStyle w:val="CharStyle12"/>
        </w:rPr>
        <w:t>Управления Федеральной антимонопольной службы по контролю в сфере закупок товаров, работ, услуг</w:t>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Председательствующего </w:t>
      </w:r>
      <w:r>
        <w:rPr>
          <w:rStyle w:val="CharStyle12"/>
          <w:lang w:val="en-US" w:eastAsia="en-US"/>
        </w:rPr>
        <w:t xml:space="preserve">- </w:t>
      </w:r>
      <w:r>
        <w:rPr>
          <w:rStyle w:val="CharStyle12"/>
        </w:rPr>
        <w:t>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Ведущего специалиста-эксперта отдела обжалования государственных закупок А.А. Леоновой,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Специалиста-эксперта отдела обжалования государственных закупок А.С. Хлебниковой,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участии представителя: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ФГБУ НЦСМ ФМБА России: Е.М. Пацуриной (по доверенности </w:t>
      </w:r>
      <w:r>
        <w:rPr>
          <w:rStyle w:val="CharStyle12"/>
          <w:lang w:val="en-US" w:eastAsia="en-US"/>
        </w:rPr>
        <w:t xml:space="preserve">№ 6 </w:t>
      </w:r>
      <w:r>
        <w:rPr>
          <w:rStyle w:val="CharStyle12"/>
        </w:rPr>
        <w:t xml:space="preserve">от </w:t>
      </w:r>
      <w:r>
        <w:rPr>
          <w:rStyle w:val="CharStyle12"/>
          <w:lang w:val="en-US" w:eastAsia="en-US"/>
        </w:rPr>
        <w:t>24.06.2025),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рассмотрев жалобу ИП Кравченко А.В. (далее </w:t>
      </w:r>
      <w:r>
        <w:rPr>
          <w:rStyle w:val="CharStyle12"/>
          <w:lang w:val="en-US" w:eastAsia="en-US"/>
        </w:rPr>
        <w:t xml:space="preserve">– </w:t>
      </w:r>
      <w:r>
        <w:rPr>
          <w:rStyle w:val="CharStyle12"/>
        </w:rPr>
        <w:t xml:space="preserve">Заявитель) на действия ФГБУ НЦСМ ФМБА России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системы ультразвуковой костной денситометрии (ф. </w:t>
      </w:r>
      <w:r>
        <w:rPr>
          <w:rStyle w:val="CharStyle12"/>
          <w:lang w:val="en-US" w:eastAsia="en-US"/>
        </w:rPr>
        <w:t xml:space="preserve">006 </w:t>
      </w:r>
      <w:r>
        <w:rPr>
          <w:rStyle w:val="CharStyle12"/>
        </w:rPr>
        <w:t xml:space="preserve">О) (Закупка </w:t>
      </w:r>
      <w:r>
        <w:rPr>
          <w:rStyle w:val="CharStyle12"/>
          <w:lang w:val="en-US" w:eastAsia="en-US"/>
        </w:rPr>
        <w:t xml:space="preserve">№0373100005026000402)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12"/>
        </w:rPr>
        <w:t>сопровождение такого указания словами «или эквивалент»;</w:t>
      </w:r>
    </w:p>
    <w:p>
      <w:pPr>
        <w:pStyle w:val="Style11"/>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описании объекта закупки Заказчиком установлены требования для закупаемого товара: «Система ультразвуковой костной денситометрии» КТРУ </w:t>
      </w:r>
      <w:r>
        <w:rPr>
          <w:rStyle w:val="CharStyle12"/>
          <w:lang w:val="en-US" w:eastAsia="en-US"/>
        </w:rPr>
        <w:t>26.60.12.132-00000001.</w:t>
      </w:r>
    </w:p>
    <w:p>
      <w:pPr>
        <w:pStyle w:val="Style11"/>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12"/>
        </w:rPr>
        <w:t xml:space="preserve">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Постановление Правительства Российской Федерации от </w:t>
      </w:r>
      <w:r>
        <w:rPr>
          <w:rStyle w:val="CharStyle12"/>
          <w:lang w:val="en-US" w:eastAsia="en-US"/>
        </w:rPr>
        <w:t xml:space="preserve">10.07.2019 №878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 925 </w:t>
      </w:r>
      <w:r>
        <w:rPr>
          <w:rStyle w:val="CharStyle12"/>
        </w:rPr>
        <w:t xml:space="preserve">и признании утратившими силу некоторых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№878) </w:t>
      </w:r>
      <w:r>
        <w:rPr>
          <w:rStyle w:val="CharStyle12"/>
        </w:rPr>
        <w:t xml:space="preserve">утвержден единый реестр российской радиоэлектронной продукции (далее </w:t>
      </w:r>
      <w:r>
        <w:rPr>
          <w:rStyle w:val="CharStyle12"/>
          <w:lang w:val="en-US" w:eastAsia="en-US"/>
        </w:rPr>
        <w:t xml:space="preserve">- </w:t>
      </w:r>
      <w:r>
        <w:rPr>
          <w:rStyle w:val="CharStyle12"/>
        </w:rPr>
        <w:t>Реестр).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Постановления </w:t>
      </w:r>
      <w:r>
        <w:rPr>
          <w:rStyle w:val="CharStyle12"/>
          <w:lang w:val="en-US" w:eastAsia="en-US"/>
        </w:rPr>
        <w:t xml:space="preserve">№ 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599" w:right="545" w:bottom="1188" w:left="1103" w:header="0" w:footer="3" w:gutter="0"/>
          <w:cols w:space="720"/>
          <w:noEndnote/>
          <w:rtlGutter w:val="0"/>
          <w:docGrid w:linePitch="360"/>
        </w:sectPr>
      </w:pPr>
      <w:r>
        <w:rPr>
          <w:rStyle w:val="CharStyle12"/>
        </w:rPr>
        <w:t xml:space="preserve">Пп.«в» п.4 Постановления </w:t>
      </w:r>
      <w:r>
        <w:rPr>
          <w:rStyle w:val="CharStyle12"/>
          <w:lang w:val="en-US" w:eastAsia="en-US"/>
        </w:rPr>
        <w:t xml:space="preserve">№1875 </w:t>
      </w:r>
      <w:r>
        <w:rPr>
          <w:rStyle w:val="CharStyle12"/>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том числе Постановлением </w:t>
      </w:r>
      <w:r>
        <w:rPr>
          <w:rStyle w:val="CharStyle12"/>
          <w:lang w:val="en-US" w:eastAsia="en-US"/>
        </w:rPr>
        <w:t xml:space="preserve">№1875, </w:t>
      </w:r>
      <w:r>
        <w:rPr>
          <w:rStyle w:val="CharStyle12"/>
        </w:rPr>
        <w:t xml:space="preserve">допускается включать в один объект закупки (предмет закупки) товары, работы, услуги как указанные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и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так и не указанные в таких приложениях, при этом к включенным в объект закупки товарам, не указанным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и приложении</w:t>
      </w:r>
    </w:p>
    <w:p>
      <w:pPr>
        <w:pStyle w:val="Style11"/>
        <w:keepNext w:val="0"/>
        <w:keepLines w:val="0"/>
        <w:widowControl w:val="0"/>
        <w:shd w:val="clear" w:color="auto" w:fill="auto"/>
        <w:bidi w:val="0"/>
        <w:spacing w:before="0" w:after="0" w:line="240" w:lineRule="auto"/>
        <w:ind w:left="0" w:right="0" w:firstLine="0"/>
        <w:jc w:val="both"/>
      </w:pP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применяются положения Постановления </w:t>
      </w:r>
      <w:r>
        <w:rPr>
          <w:rStyle w:val="CharStyle12"/>
          <w:lang w:val="en-US" w:eastAsia="en-US"/>
        </w:rPr>
        <w:t xml:space="preserve">№1875, </w:t>
      </w:r>
      <w:r>
        <w:rPr>
          <w:rStyle w:val="CharStyle12"/>
        </w:rPr>
        <w:t xml:space="preserve">касающиеся преимущества, указанного в п.1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предусмотренного п.1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12"/>
          <w:lang w:val="en-US" w:eastAsia="en-US"/>
        </w:rPr>
        <w:t xml:space="preserve">№1875 </w:t>
      </w:r>
      <w:r>
        <w:rPr>
          <w:rStyle w:val="CharStyle12"/>
        </w:rPr>
        <w:t xml:space="preserve">и Постановления </w:t>
      </w:r>
      <w:r>
        <w:rPr>
          <w:rStyle w:val="CharStyle12"/>
          <w:lang w:val="en-US" w:eastAsia="en-US"/>
        </w:rPr>
        <w:t xml:space="preserve">№878, </w:t>
      </w:r>
      <w:r>
        <w:rPr>
          <w:rStyle w:val="CharStyle12"/>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12"/>
        </w:rPr>
        <w:t xml:space="preserve">Также в составе жалобы Заявитель указывает, что Заказчиком не исполнены требования Постановления Правительства РФ от </w:t>
      </w:r>
      <w:r>
        <w:rPr>
          <w:rStyle w:val="CharStyle12"/>
          <w:lang w:val="en-US" w:eastAsia="en-US"/>
        </w:rPr>
        <w:t xml:space="preserve">3 </w:t>
      </w:r>
      <w:r>
        <w:rPr>
          <w:rStyle w:val="CharStyle12"/>
        </w:rPr>
        <w:t xml:space="preserve">декабря </w:t>
      </w:r>
      <w:r>
        <w:rPr>
          <w:rStyle w:val="CharStyle12"/>
          <w:lang w:val="en-US" w:eastAsia="en-US"/>
        </w:rPr>
        <w:t xml:space="preserve">2020 </w:t>
      </w:r>
      <w:r>
        <w:rPr>
          <w:rStyle w:val="CharStyle12"/>
        </w:rPr>
        <w:t xml:space="preserve">г. </w:t>
      </w:r>
      <w:r>
        <w:rPr>
          <w:rStyle w:val="CharStyle12"/>
          <w:lang w:val="en-US" w:eastAsia="en-US"/>
        </w:rPr>
        <w:t xml:space="preserve">№ 2014 </w:t>
      </w:r>
      <w:r>
        <w:rPr>
          <w:rStyle w:val="CharStyle12"/>
        </w:rPr>
        <w:t xml:space="preserve">«О минимальной обязательной доле закупок российских товаров и ее достижении заказчиком»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№2014), </w:t>
      </w:r>
      <w:r>
        <w:rPr>
          <w:rStyle w:val="CharStyle12"/>
        </w:rPr>
        <w:t xml:space="preserve">в части закупки аппаратов ультразвукового исследования Российского производства не менее </w:t>
      </w:r>
      <w:r>
        <w:rPr>
          <w:rStyle w:val="CharStyle12"/>
          <w:lang w:val="en-US" w:eastAsia="en-US"/>
        </w:rPr>
        <w:t>80%.</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12"/>
          <w:lang w:val="en-US" w:eastAsia="en-US"/>
        </w:rPr>
        <w:t xml:space="preserve">№1875, </w:t>
      </w:r>
      <w:r>
        <w:rPr>
          <w:rStyle w:val="CharStyle12"/>
        </w:rPr>
        <w:t xml:space="preserve">Постановление </w:t>
      </w:r>
      <w:r>
        <w:rPr>
          <w:rStyle w:val="CharStyle12"/>
          <w:lang w:val="en-US" w:eastAsia="en-US"/>
        </w:rPr>
        <w:t xml:space="preserve">№2014 </w:t>
      </w:r>
      <w:r>
        <w:rPr>
          <w:rStyle w:val="CharStyle12"/>
        </w:rPr>
        <w:t>утрачивает силу.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П.12 Постановления </w:t>
      </w:r>
      <w:r>
        <w:rPr>
          <w:rStyle w:val="CharStyle12"/>
          <w:lang w:val="en-US" w:eastAsia="en-US"/>
        </w:rPr>
        <w:t xml:space="preserve">№1875 </w:t>
      </w:r>
      <w:r>
        <w:rPr>
          <w:rStyle w:val="CharStyle12"/>
        </w:rPr>
        <w:t xml:space="preserve">в том числе определено, что Постановление </w:t>
      </w:r>
      <w:r>
        <w:rPr>
          <w:rStyle w:val="CharStyle12"/>
          <w:lang w:val="en-US" w:eastAsia="en-US"/>
        </w:rPr>
        <w:t xml:space="preserve">№1875 </w:t>
      </w:r>
      <w:r>
        <w:rPr>
          <w:rStyle w:val="CharStyle12"/>
        </w:rPr>
        <w:t xml:space="preserve">вступает в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г.</w:t>
      </w:r>
    </w:p>
    <w:p>
      <w:pPr>
        <w:pStyle w:val="Style11"/>
        <w:keepNext w:val="0"/>
        <w:keepLines w:val="0"/>
        <w:widowControl w:val="0"/>
        <w:shd w:val="clear" w:color="auto" w:fill="auto"/>
        <w:bidi w:val="0"/>
        <w:spacing w:before="0" w:after="0" w:line="329"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956" w:right="546" w:bottom="615" w:left="1106" w:header="0" w:footer="187" w:gutter="0"/>
          <w:cols w:space="720"/>
          <w:noEndnote/>
          <w:rtlGutter w:val="0"/>
          <w:docGrid w:linePitch="360"/>
        </w:sectPr>
      </w:pPr>
      <w:r>
        <w:rPr>
          <w:rStyle w:val="CharStyle12"/>
        </w:rPr>
        <w:t xml:space="preserve">Пп.«а» п.10 Постановления </w:t>
      </w:r>
      <w:r>
        <w:rPr>
          <w:rStyle w:val="CharStyle12"/>
          <w:lang w:val="en-US" w:eastAsia="en-US"/>
        </w:rPr>
        <w:t xml:space="preserve">№1875 </w:t>
      </w:r>
      <w:r>
        <w:rPr>
          <w:rStyle w:val="CharStyle12"/>
        </w:rPr>
        <w:t xml:space="preserve">установлено, что Постановление </w:t>
      </w:r>
      <w:r>
        <w:rPr>
          <w:rStyle w:val="CharStyle12"/>
          <w:lang w:val="en-US" w:eastAsia="en-US"/>
        </w:rPr>
        <w:t xml:space="preserve">№1875 </w:t>
      </w:r>
      <w:r>
        <w:rPr>
          <w:rStyle w:val="CharStyle12"/>
        </w:rPr>
        <w:t xml:space="preserve">применяется к отношениям, связанным с осуществлением закупок, извещения об </w:t>
      </w:r>
      <w:r>
        <w:rPr>
          <w:rStyle w:val="CharStyle12"/>
          <w:sz w:val="24"/>
          <w:szCs w:val="24"/>
          <w:lang w:val="en-US" w:eastAsia="en-US"/>
        </w:rPr>
        <w:t>2026-23499</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Постановление </w:t>
      </w:r>
      <w:r>
        <w:rPr>
          <w:rStyle w:val="CharStyle12"/>
          <w:lang w:val="en-US" w:eastAsia="en-US"/>
        </w:rPr>
        <w:t xml:space="preserve">№2014 </w:t>
      </w:r>
      <w:r>
        <w:rPr>
          <w:rStyle w:val="CharStyle12"/>
        </w:rPr>
        <w:t xml:space="preserve">утратило силу и положения Постановления </w:t>
      </w:r>
      <w:r>
        <w:rPr>
          <w:rStyle w:val="CharStyle12"/>
          <w:lang w:val="en-US" w:eastAsia="en-US"/>
        </w:rPr>
        <w:t xml:space="preserve">№2014 </w:t>
      </w:r>
      <w:r>
        <w:rPr>
          <w:rStyle w:val="CharStyle12"/>
        </w:rPr>
        <w:t>не могут быть применены в отношении данной закупочной процедуры.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Одновременно с этим Комиссия Управления отмечает.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ч.6 ст.14 Закона о контрактной системе по итогам года до </w:t>
      </w:r>
      <w:r>
        <w:rPr>
          <w:rStyle w:val="CharStyle12"/>
          <w:lang w:val="en-US" w:eastAsia="en-US"/>
        </w:rPr>
        <w:t xml:space="preserve">1 </w:t>
      </w:r>
      <w:r>
        <w:rPr>
          <w:rStyle w:val="CharStyle12"/>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12"/>
          <w:lang w:val="en-US" w:eastAsia="en-US"/>
        </w:rPr>
        <w:t xml:space="preserve">8 </w:t>
      </w:r>
      <w:r>
        <w:rPr>
          <w:rStyle w:val="CharStyle12"/>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2"/>
          <w:lang w:val="en-US" w:eastAsia="en-US"/>
        </w:rPr>
        <w:t xml:space="preserve">1 </w:t>
      </w:r>
      <w:r>
        <w:rPr>
          <w:rStyle w:val="CharStyle12"/>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2"/>
          <w:lang w:val="en-US" w:eastAsia="en-US"/>
        </w:rPr>
        <w:t xml:space="preserve">1 </w:t>
      </w:r>
      <w:r>
        <w:rPr>
          <w:rStyle w:val="CharStyle12"/>
        </w:rPr>
        <w:t>марта года, следующего за отчетным годом.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отмечает, что исходя из буквального толкования положений ч.6, </w:t>
      </w:r>
      <w:r>
        <w:rPr>
          <w:rStyle w:val="CharStyle12"/>
          <w:lang w:val="en-US" w:eastAsia="en-US"/>
        </w:rPr>
        <w:t xml:space="preserve">7 </w:t>
      </w:r>
      <w:r>
        <w:rPr>
          <w:rStyle w:val="CharStyle12"/>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Кроме того, п.9 Постановления </w:t>
      </w:r>
      <w:r>
        <w:rPr>
          <w:rStyle w:val="CharStyle12"/>
          <w:lang w:val="en-US" w:eastAsia="en-US"/>
        </w:rPr>
        <w:t xml:space="preserve">№1875 </w:t>
      </w:r>
      <w:r>
        <w:rPr>
          <w:rStyle w:val="CharStyle12"/>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1"/>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956" w:right="550" w:bottom="956" w:left="1101" w:header="0" w:footer="3" w:gutter="0"/>
          <w:cols w:space="720"/>
          <w:noEndnote/>
          <w:rtlGutter w:val="0"/>
          <w:docGrid w:linePitch="360"/>
        </w:sectPr>
      </w:pPr>
      <w:r>
        <w:rPr>
          <w:rStyle w:val="CharStyle12"/>
        </w:rPr>
        <w:t>Таким образом, учитывая, что в рамках рассмотрения данной жалобы Комиссия Управления не обладает полномочиями по рассмотрению отчетов об</w:t>
      </w:r>
    </w:p>
    <w:p>
      <w:pPr>
        <w:pStyle w:val="Style11"/>
        <w:keepNext w:val="0"/>
        <w:keepLines w:val="0"/>
        <w:widowControl w:val="0"/>
        <w:shd w:val="clear" w:color="auto" w:fill="auto"/>
        <w:bidi w:val="0"/>
        <w:spacing w:before="0" w:after="0" w:line="240" w:lineRule="auto"/>
        <w:ind w:left="0" w:right="0" w:firstLine="0"/>
        <w:jc w:val="both"/>
      </w:pPr>
      <w:r>
        <w:rPr>
          <w:rStyle w:val="CharStyle12"/>
        </w:rPr>
        <w:t>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00"/>
        <w:jc w:val="both"/>
      </w:pPr>
      <w:r>
        <w:rPr>
          <w:rStyle w:val="CharStyle12"/>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12"/>
          <w:lang w:val="en-US" w:eastAsia="en-US"/>
        </w:rPr>
        <w:t xml:space="preserve">16.11.2015 №1236 </w:t>
      </w:r>
      <w:r>
        <w:rPr>
          <w:rStyle w:val="CharStyle12"/>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 xml:space="preserve">членов Евразийского экономического союза, за исключением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ввиду вступления в силу Постановления </w:t>
      </w:r>
      <w:r>
        <w:rPr>
          <w:rStyle w:val="CharStyle12"/>
          <w:lang w:val="en-US" w:eastAsia="en-US"/>
        </w:rPr>
        <w:t xml:space="preserve">№1875, </w:t>
      </w:r>
      <w:r>
        <w:rPr>
          <w:rStyle w:val="CharStyle12"/>
        </w:rPr>
        <w:t xml:space="preserve">п.2 Постановлением </w:t>
      </w:r>
      <w:r>
        <w:rPr>
          <w:rStyle w:val="CharStyle12"/>
          <w:lang w:val="en-US" w:eastAsia="en-US"/>
        </w:rPr>
        <w:t xml:space="preserve">№1236, </w:t>
      </w:r>
      <w:r>
        <w:rPr>
          <w:rStyle w:val="CharStyle12"/>
        </w:rPr>
        <w:t xml:space="preserve">в редакции от </w:t>
      </w:r>
      <w:r>
        <w:rPr>
          <w:rStyle w:val="CharStyle12"/>
          <w:lang w:val="en-US" w:eastAsia="en-US"/>
        </w:rPr>
        <w:t xml:space="preserve">20.12.2017 </w:t>
      </w:r>
      <w:r>
        <w:rPr>
          <w:rStyle w:val="CharStyle12"/>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года.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12"/>
          <w:lang w:val="en-US" w:eastAsia="en-US"/>
        </w:rPr>
        <w:t xml:space="preserve">№1875, </w:t>
      </w:r>
      <w:r>
        <w:rPr>
          <w:rStyle w:val="CharStyle12"/>
        </w:rPr>
        <w:t xml:space="preserve">в связи с чем довод Заявителя, на предмет нарушения требований Постановления </w:t>
      </w:r>
      <w:r>
        <w:rPr>
          <w:rStyle w:val="CharStyle12"/>
          <w:lang w:val="en-US" w:eastAsia="en-US"/>
        </w:rPr>
        <w:t xml:space="preserve">№1236, </w:t>
      </w:r>
      <w:r>
        <w:rPr>
          <w:rStyle w:val="CharStyle12"/>
        </w:rPr>
        <w:t>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00"/>
        <w:jc w:val="both"/>
      </w:pPr>
      <w:r>
        <w:rPr>
          <w:rStyle w:val="CharStyle12"/>
        </w:rPr>
        <w:t>Также в составе жалобы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пояснений представителя Заказчика требования к закупаемым изделиям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 например:</w:t>
      </w:r>
    </w:p>
    <w:p>
      <w:pPr>
        <w:pStyle w:val="Style11"/>
        <w:keepNext w:val="0"/>
        <w:keepLines w:val="0"/>
        <w:widowControl w:val="0"/>
        <w:numPr>
          <w:ilvl w:val="0"/>
          <w:numId w:val="7"/>
        </w:numPr>
        <w:shd w:val="clear" w:color="auto" w:fill="auto"/>
        <w:tabs>
          <w:tab w:pos="1123" w:val="left"/>
        </w:tabs>
        <w:bidi w:val="0"/>
        <w:spacing w:before="0" w:after="0" w:line="305" w:lineRule="auto"/>
        <w:ind w:left="0" w:right="0" w:firstLine="700"/>
        <w:jc w:val="both"/>
        <w:rPr>
          <w:sz w:val="24"/>
          <w:szCs w:val="24"/>
        </w:rPr>
      </w:pPr>
      <w:r>
        <w:rPr>
          <w:rStyle w:val="CharStyle12"/>
        </w:rPr>
        <w:t xml:space="preserve">Система ультразвуковой костной денситометрии </w:t>
      </w:r>
      <w:r>
        <w:rPr>
          <w:rStyle w:val="CharStyle12"/>
          <w:lang w:val="en-US" w:eastAsia="en-US"/>
        </w:rPr>
        <w:t xml:space="preserve">DS.Densi </w:t>
      </w:r>
      <w:r>
        <w:rPr>
          <w:rStyle w:val="CharStyle12"/>
        </w:rPr>
        <w:t xml:space="preserve">с принадлежностями по ТУ </w:t>
      </w:r>
      <w:r>
        <w:rPr>
          <w:rStyle w:val="CharStyle12"/>
          <w:lang w:val="en-US" w:eastAsia="en-US"/>
        </w:rPr>
        <w:t xml:space="preserve">26.60.12-005-86671063-2023, </w:t>
      </w:r>
      <w:r>
        <w:rPr>
          <w:rStyle w:val="CharStyle12"/>
        </w:rPr>
        <w:t xml:space="preserve">производство </w:t>
      </w:r>
      <w:r>
        <w:rPr>
          <w:rStyle w:val="CharStyle12"/>
          <w:sz w:val="24"/>
          <w:szCs w:val="24"/>
          <w:lang w:val="en-US" w:eastAsia="en-US"/>
        </w:rPr>
        <w:t>2026-23499</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ООО «ДС.Мед», страна происхождения: Российская Федерация; регистрационное удостоверение РЗН </w:t>
      </w:r>
      <w:r>
        <w:rPr>
          <w:rStyle w:val="CharStyle12"/>
          <w:lang w:val="en-US" w:eastAsia="en-US"/>
        </w:rPr>
        <w:t xml:space="preserve">2025/25450 </w:t>
      </w:r>
      <w:r>
        <w:rPr>
          <w:rStyle w:val="CharStyle12"/>
        </w:rPr>
        <w:t xml:space="preserve">от </w:t>
      </w:r>
      <w:r>
        <w:rPr>
          <w:rStyle w:val="CharStyle12"/>
          <w:lang w:val="en-US" w:eastAsia="en-US"/>
        </w:rPr>
        <w:t>20.05.2025;</w:t>
      </w:r>
    </w:p>
    <w:p>
      <w:pPr>
        <w:pStyle w:val="Style11"/>
        <w:keepNext w:val="0"/>
        <w:keepLines w:val="0"/>
        <w:widowControl w:val="0"/>
        <w:numPr>
          <w:ilvl w:val="0"/>
          <w:numId w:val="7"/>
        </w:numPr>
        <w:shd w:val="clear" w:color="auto" w:fill="auto"/>
        <w:tabs>
          <w:tab w:pos="1123" w:val="left"/>
        </w:tabs>
        <w:bidi w:val="0"/>
        <w:spacing w:before="0" w:after="0" w:line="240" w:lineRule="auto"/>
        <w:ind w:left="0" w:right="0" w:firstLine="700"/>
        <w:jc w:val="both"/>
      </w:pPr>
      <w:r>
        <w:rPr>
          <w:rStyle w:val="CharStyle12"/>
        </w:rPr>
        <w:t xml:space="preserve">Прибор ультразвуковой диагностический </w:t>
      </w:r>
      <w:r>
        <w:rPr>
          <w:rStyle w:val="CharStyle12"/>
          <w:lang w:val="en-US" w:eastAsia="en-US"/>
        </w:rPr>
        <w:t xml:space="preserve">MiniOmni </w:t>
      </w:r>
      <w:r>
        <w:rPr>
          <w:rStyle w:val="CharStyle12"/>
        </w:rPr>
        <w:t xml:space="preserve">с принадлежностями, производство БимМед Лтд., страна происхождения: Государство Израиль, регистрационное удостоверение ФСЗ </w:t>
      </w:r>
      <w:r>
        <w:rPr>
          <w:rStyle w:val="CharStyle12"/>
          <w:lang w:val="en-US" w:eastAsia="en-US"/>
        </w:rPr>
        <w:t xml:space="preserve">2011/09378 </w:t>
      </w:r>
      <w:r>
        <w:rPr>
          <w:rStyle w:val="CharStyle12"/>
        </w:rPr>
        <w:t xml:space="preserve">от </w:t>
      </w:r>
      <w:r>
        <w:rPr>
          <w:rStyle w:val="CharStyle12"/>
          <w:lang w:val="en-US" w:eastAsia="en-US"/>
        </w:rPr>
        <w:t>16.03.2011.</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Иного на заседании Комиссии Управления не выявлено.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00"/>
        <w:jc w:val="both"/>
      </w:pPr>
      <w:r>
        <w:rPr>
          <w:rStyle w:val="CharStyle12"/>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00"/>
        <w:jc w:val="both"/>
      </w:pPr>
      <w:r>
        <w:rPr>
          <w:rStyle w:val="CharStyle12"/>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11"/>
        <w:keepNext w:val="0"/>
        <w:keepLines w:val="0"/>
        <w:widowControl w:val="0"/>
        <w:shd w:val="clear" w:color="auto" w:fill="auto"/>
        <w:bidi w:val="0"/>
        <w:spacing w:before="0" w:after="0" w:line="254"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956" w:right="545" w:bottom="644" w:left="1101" w:header="0" w:footer="216" w:gutter="0"/>
          <w:cols w:space="720"/>
          <w:noEndnote/>
          <w:rtlGutter w:val="0"/>
          <w:docGrid w:linePitch="360"/>
        </w:sectPr>
      </w:pPr>
      <w:r>
        <w:rPr>
          <w:rStyle w:val="CharStyle12"/>
        </w:rPr>
        <w:t xml:space="preserve">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w:t>
      </w:r>
      <w:r>
        <w:rPr>
          <w:rStyle w:val="CharStyle12"/>
          <w:sz w:val="24"/>
          <w:szCs w:val="24"/>
          <w:lang w:val="en-US" w:eastAsia="en-US"/>
        </w:rPr>
        <w:t>2026-23499</w:t>
      </w:r>
    </w:p>
    <w:p>
      <w:pPr>
        <w:pStyle w:val="Style11"/>
        <w:keepNext w:val="0"/>
        <w:keepLines w:val="0"/>
        <w:widowControl w:val="0"/>
        <w:shd w:val="clear" w:color="auto" w:fill="auto"/>
        <w:bidi w:val="0"/>
        <w:spacing w:before="0" w:after="0" w:line="240" w:lineRule="auto"/>
        <w:ind w:left="0" w:right="0" w:firstLine="0"/>
        <w:jc w:val="both"/>
      </w:pPr>
      <w:r>
        <w:rPr>
          <w:rStyle w:val="CharStyle12"/>
        </w:rPr>
        <w:t>ответственное должностное лицо заказчика, специализированной организации (в случае ее привлечения заказчиком).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12"/>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11"/>
        <w:keepNext w:val="0"/>
        <w:keepLines w:val="0"/>
        <w:widowControl w:val="0"/>
        <w:numPr>
          <w:ilvl w:val="0"/>
          <w:numId w:val="3"/>
        </w:numPr>
        <w:shd w:val="clear" w:color="auto" w:fill="auto"/>
        <w:tabs>
          <w:tab w:pos="1100" w:val="left"/>
        </w:tabs>
        <w:bidi w:val="0"/>
        <w:spacing w:before="0" w:after="0" w:line="240" w:lineRule="auto"/>
        <w:ind w:left="0" w:right="0" w:firstLine="700"/>
        <w:jc w:val="both"/>
      </w:pPr>
      <w:r>
        <w:rPr>
          <w:rStyle w:val="CharStyle12"/>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ч.3 ст.42 Закона о контрактной системе извещение об осуществлении закупки размещается при проведении:</w:t>
      </w:r>
    </w:p>
    <w:p>
      <w:pPr>
        <w:pStyle w:val="Style11"/>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12"/>
        </w:rPr>
        <w:t>электронного конкурса не менее чем за пятнадцать дней до даты окончания срока подачи заявок на участие в закупке;</w:t>
      </w:r>
    </w:p>
    <w:p>
      <w:pPr>
        <w:pStyle w:val="Style11"/>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12"/>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1"/>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12"/>
        </w:rPr>
        <w:t>электронного запроса котировок не менее чем за четыре рабочих дня до даты окончания срока подачи заявок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11"/>
        <w:keepNext w:val="0"/>
        <w:keepLines w:val="0"/>
        <w:widowControl w:val="0"/>
        <w:numPr>
          <w:ilvl w:val="0"/>
          <w:numId w:val="11"/>
        </w:numPr>
        <w:shd w:val="clear" w:color="auto" w:fill="auto"/>
        <w:tabs>
          <w:tab w:pos="1411" w:val="left"/>
        </w:tabs>
        <w:bidi w:val="0"/>
        <w:spacing w:before="0" w:after="0" w:line="240" w:lineRule="auto"/>
        <w:ind w:left="0" w:right="0" w:firstLine="700"/>
        <w:jc w:val="both"/>
      </w:pPr>
      <w:r>
        <w:rPr>
          <w:rStyle w:val="CharStyle12"/>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12"/>
          <w:lang w:val="en-US" w:eastAsia="en-US"/>
        </w:rPr>
        <w:t>№2014.</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2"/>
          <w:lang w:val="en-US" w:eastAsia="en-US"/>
        </w:rPr>
        <w:t xml:space="preserve">6 </w:t>
      </w:r>
      <w:r>
        <w:rPr>
          <w:rStyle w:val="CharStyle12"/>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r>
        <w:br w:type="page"/>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Комиссией Управления принято решение об отказе в удовлетворении вышеуказанного ходатайства.</w:t>
      </w:r>
    </w:p>
    <w:p>
      <w:pPr>
        <w:pStyle w:val="Style11"/>
        <w:keepNext w:val="0"/>
        <w:keepLines w:val="0"/>
        <w:widowControl w:val="0"/>
        <w:shd w:val="clear" w:color="auto" w:fill="auto"/>
        <w:bidi w:val="0"/>
        <w:spacing w:before="0" w:after="300" w:line="240"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rPr>
        <w:t>РЕШИЛА:</w:t>
      </w:r>
    </w:p>
    <w:p>
      <w:pPr>
        <w:pStyle w:val="Style11"/>
        <w:keepNext w:val="0"/>
        <w:keepLines w:val="0"/>
        <w:widowControl w:val="0"/>
        <w:numPr>
          <w:ilvl w:val="0"/>
          <w:numId w:val="13"/>
        </w:numPr>
        <w:shd w:val="clear" w:color="auto" w:fill="auto"/>
        <w:tabs>
          <w:tab w:pos="1416" w:val="left"/>
        </w:tabs>
        <w:bidi w:val="0"/>
        <w:spacing w:before="0" w:after="0" w:line="240" w:lineRule="auto"/>
        <w:ind w:left="0" w:right="0" w:firstLine="700"/>
        <w:jc w:val="both"/>
      </w:pPr>
      <w:r>
        <w:rPr>
          <w:rStyle w:val="CharStyle12"/>
        </w:rPr>
        <w:t>Признать жалобу ИП Кравченко А.В. на действия ФГБУ НЦСМ ФМБА России необоснованной.</w:t>
      </w:r>
    </w:p>
    <w:p>
      <w:pPr>
        <w:pStyle w:val="Style11"/>
        <w:keepNext w:val="0"/>
        <w:keepLines w:val="0"/>
        <w:widowControl w:val="0"/>
        <w:numPr>
          <w:ilvl w:val="0"/>
          <w:numId w:val="13"/>
        </w:numPr>
        <w:shd w:val="clear" w:color="auto" w:fill="auto"/>
        <w:tabs>
          <w:tab w:pos="1416" w:val="left"/>
        </w:tabs>
        <w:bidi w:val="0"/>
        <w:spacing w:before="0" w:after="300" w:line="240" w:lineRule="auto"/>
        <w:ind w:left="0" w:right="0" w:firstLine="7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927" w:right="539" w:bottom="1196" w:left="1099" w:header="0" w:footer="3" w:gutter="0"/>
          <w:cols w:space="720"/>
          <w:noEndnote/>
          <w:rtlGutter w:val="0"/>
          <w:docGrid w:linePitch="360"/>
        </w:sectPr>
      </w:pPr>
      <w:r>
        <mc:AlternateContent>
          <mc:Choice Requires="wps">
            <w:drawing>
              <wp:anchor distT="546100" distB="340995" distL="0" distR="0" simplePos="0" relativeHeight="125829380" behindDoc="0" locked="0" layoutInCell="1" allowOverlap="1">
                <wp:simplePos x="0" y="0"/>
                <wp:positionH relativeFrom="page">
                  <wp:posOffset>734695</wp:posOffset>
                </wp:positionH>
                <wp:positionV relativeFrom="paragraph">
                  <wp:posOffset>546100</wp:posOffset>
                </wp:positionV>
                <wp:extent cx="1844040" cy="250190"/>
                <wp:wrapTopAndBottom/>
                <wp:docPr id="22" name="Shape 22"/>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8" type="#_x0000_t202" style="position:absolute;margin-left:57.850000000000001pt;margin-top:43.pt;width:145.20000000000002pt;height:19.699999999999999pt;z-index:-125829373;mso-wrap-distance-left:0;mso-wrap-distance-top:43.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607060" distB="0" distL="0" distR="1786255" simplePos="0" relativeHeight="125829382" behindDoc="0" locked="0" layoutInCell="1" allowOverlap="1">
            <wp:simplePos x="0" y="0"/>
            <wp:positionH relativeFrom="page">
              <wp:posOffset>3093720</wp:posOffset>
            </wp:positionH>
            <wp:positionV relativeFrom="paragraph">
              <wp:posOffset>607060</wp:posOffset>
            </wp:positionV>
            <wp:extent cx="365760" cy="530225"/>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9"/>
                    <a:stretch/>
                  </pic:blipFill>
                  <pic:spPr>
                    <a:xfrm>
                      <a:ext cx="36576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3562985</wp:posOffset>
                </wp:positionH>
                <wp:positionV relativeFrom="paragraph">
                  <wp:posOffset>1021715</wp:posOffset>
                </wp:positionV>
                <wp:extent cx="1283335" cy="100330"/>
                <wp:wrapNone/>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80.55000000000001pt;margin-top:80.450000000000003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3523615</wp:posOffset>
                </wp:positionH>
                <wp:positionV relativeFrom="paragraph">
                  <wp:posOffset>704850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7.44999999999999pt;margin-top:55.5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6100" distB="340995" distL="0" distR="0" simplePos="0" relativeHeight="125829383" behindDoc="0" locked="0" layoutInCell="1" allowOverlap="1">
                <wp:simplePos x="0" y="0"/>
                <wp:positionH relativeFrom="page">
                  <wp:posOffset>6077585</wp:posOffset>
                </wp:positionH>
                <wp:positionV relativeFrom="paragraph">
                  <wp:posOffset>546100</wp:posOffset>
                </wp:positionV>
                <wp:extent cx="1136650" cy="250190"/>
                <wp:wrapTopAndBottom/>
                <wp:docPr id="30" name="Shape 30"/>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wps:txbx>
                      <wps:bodyPr wrap="none" lIns="0" tIns="0" rIns="0" bIns="0">
                        <a:noAutoFit/>
                      </wps:bodyPr>
                    </wps:wsp>
                  </a:graphicData>
                </a:graphic>
              </wp:anchor>
            </w:drawing>
          </mc:Choice>
          <mc:Fallback>
            <w:pict>
              <v:shape id="_x0000_s1056" type="#_x0000_t202" style="position:absolute;margin-left:478.55000000000001pt;margin-top:43.pt;width:89.5pt;height:19.699999999999999pt;z-index:-125829370;mso-wrap-distance-left:0;mso-wrap-distance-top:43.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Грешнева Дарья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color w:val="292929"/>
        </w:rPr>
        <w:t xml:space="preserve">Сертификат № </w:t>
      </w:r>
      <w:r>
        <w:rPr>
          <w:rStyle w:val="CharStyle19"/>
          <w:color w:val="5E5E5E"/>
        </w:rPr>
        <w:t>00831</w:t>
      </w:r>
      <w:r>
        <w:rPr>
          <w:rStyle w:val="CharStyle19"/>
          <w:lang w:val="en-US" w:eastAsia="en-US"/>
        </w:rPr>
        <w:t>B7545C61281C4BAB156778A683BFB</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w:t>
      </w:r>
      <w:r>
        <w:rPr>
          <w:rStyle w:val="CharStyle19"/>
          <w:color w:val="292929"/>
        </w:rPr>
        <w:t xml:space="preserve">17.07.2025 </w:t>
      </w:r>
      <w:r>
        <w:rPr>
          <w:rStyle w:val="CharStyle19"/>
          <w:color w:val="5E5E5E"/>
        </w:rPr>
        <w:t xml:space="preserve">по </w:t>
      </w:r>
      <w:r>
        <w:rPr>
          <w:rStyle w:val="CharStyle19"/>
        </w:rPr>
        <w:t>10.10.2026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3102610</wp:posOffset>
            </wp:positionH>
            <wp:positionV relativeFrom="paragraph">
              <wp:posOffset>50800</wp:posOffset>
            </wp:positionV>
            <wp:extent cx="359410" cy="530225"/>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1"/>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3562985</wp:posOffset>
                </wp:positionH>
                <wp:positionV relativeFrom="paragraph">
                  <wp:posOffset>465455</wp:posOffset>
                </wp:positionV>
                <wp:extent cx="1283335" cy="100330"/>
                <wp:wrapNone/>
                <wp:docPr id="34" name="Shape 3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60" type="#_x0000_t202" style="position:absolute;margin-left:280.55000000000001pt;margin-top:36.64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3522980</wp:posOffset>
                </wp:positionH>
                <wp:positionV relativeFrom="paragraph">
                  <wp:posOffset>148590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40000000000003pt;margin-top:11.70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Леонова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Леонова Алена Альбертовна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276EF4D805B62E966E204BCBEB72461C</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05.12.2025 </w:t>
      </w:r>
      <w:r>
        <w:rPr>
          <w:rStyle w:val="CharStyle19"/>
          <w:color w:val="5E5E5E"/>
        </w:rPr>
        <w:t xml:space="preserve">по </w:t>
      </w:r>
      <w:r>
        <w:rPr>
          <w:rStyle w:val="CharStyle19"/>
        </w:rPr>
        <w:t>28.02.2027</w:t>
      </w:r>
    </w:p>
    <w:p>
      <w:pPr>
        <w:pStyle w:val="Style11"/>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6" behindDoc="0" locked="0" layoutInCell="1" allowOverlap="1">
            <wp:simplePos x="0" y="0"/>
            <wp:positionH relativeFrom="page">
              <wp:posOffset>3102610</wp:posOffset>
            </wp:positionH>
            <wp:positionV relativeFrom="paragraph">
              <wp:posOffset>63500</wp:posOffset>
            </wp:positionV>
            <wp:extent cx="359410" cy="396240"/>
            <wp:wrapSquare wrapText="right"/>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3522980</wp:posOffset>
                </wp:positionH>
                <wp:positionV relativeFrom="paragraph">
                  <wp:posOffset>151765</wp:posOffset>
                </wp:positionV>
                <wp:extent cx="1722120" cy="259080"/>
                <wp:wrapNone/>
                <wp:docPr id="40" name="Shape 4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40000000000003pt;margin-top:11.95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Хлебникова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ХЛЕБНИКОВА АНАСТАСИЯ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00BDC586F2C22E864181858031D16A1</w:t>
      </w:r>
      <w:r>
        <w:rPr>
          <w:rStyle w:val="CharStyle19"/>
          <w:color w:val="292929"/>
        </w:rPr>
        <w:t>1</w:t>
      </w:r>
      <w:r>
        <w:rPr>
          <w:rStyle w:val="CharStyle19"/>
        </w:rPr>
        <w:t>13</w:t>
      </w:r>
    </w:p>
    <w:p>
      <w:pPr>
        <w:pStyle w:val="Style18"/>
        <w:keepNext w:val="0"/>
        <w:keepLines w:val="0"/>
        <w:widowControl w:val="0"/>
        <w:shd w:val="clear" w:color="auto" w:fill="auto"/>
        <w:bidi w:val="0"/>
        <w:spacing w:before="0" w:after="2180" w:line="240" w:lineRule="auto"/>
        <w:ind w:right="0" w:firstLine="0"/>
        <w:jc w:val="left"/>
      </w:pPr>
      <w:r>
        <w:rPr>
          <w:rStyle w:val="CharStyle19"/>
        </w:rPr>
        <w:t>Действителен с 31.1</w:t>
      </w:r>
      <w:r>
        <w:rPr>
          <w:rStyle w:val="CharStyle19"/>
          <w:color w:val="5E5E5E"/>
        </w:rPr>
        <w:t xml:space="preserve">0.2025 по </w:t>
      </w:r>
      <w:r>
        <w:rPr>
          <w:rStyle w:val="CharStyle19"/>
        </w:rPr>
        <w:t>24.01.2027</w:t>
      </w:r>
    </w:p>
    <w:p>
      <w:pPr>
        <w:pStyle w:val="Style25"/>
        <w:keepNext w:val="0"/>
        <w:keepLines w:val="0"/>
        <w:widowControl w:val="0"/>
        <w:shd w:val="clear" w:color="auto" w:fill="auto"/>
        <w:bidi w:val="0"/>
        <w:spacing w:before="0" w:after="0" w:line="240" w:lineRule="auto"/>
        <w:ind w:left="0" w:right="0" w:firstLine="0"/>
        <w:jc w:val="left"/>
      </w:pPr>
      <w:r>
        <w:rPr>
          <w:rStyle w:val="CharStyle26"/>
        </w:rPr>
        <w:t>Исп.Леонова А.А.</w:t>
      </w:r>
    </w:p>
    <w:p>
      <w:pPr>
        <w:pStyle w:val="Style25"/>
        <w:keepNext w:val="0"/>
        <w:keepLines w:val="0"/>
        <w:widowControl w:val="0"/>
        <w:shd w:val="clear" w:color="auto" w:fill="auto"/>
        <w:bidi w:val="0"/>
        <w:spacing w:before="0" w:after="80" w:line="240" w:lineRule="auto"/>
        <w:ind w:left="0" w:right="0" w:firstLine="0"/>
        <w:jc w:val="left"/>
      </w:pPr>
      <w:r>
        <w:rPr>
          <w:rStyle w:val="CharStyle26"/>
        </w:rPr>
        <w:t>тел.(495) 784-75-05</w:t>
      </w:r>
    </w:p>
    <w:sectPr>
      <w:footnotePr>
        <w:pos w:val="pageBottom"/>
        <w:numFmt w:val="decimal"/>
        <w:numRestart w:val="continuous"/>
      </w:footnotePr>
      <w:type w:val="continuous"/>
      <w:pgSz w:w="11900" w:h="16840"/>
      <w:pgMar w:top="956" w:right="532" w:bottom="95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wps:txbx>
                    <wps:bodyPr wrap="none" lIns="0" tIns="0" rIns="0" bIns="0">
                      <a:spAutoFit/>
                    </wps:bodyPr>
                  </wps:wsp>
                </a:graphicData>
              </a:graphic>
            </wp:anchor>
          </w:drawing>
        </mc:Choice>
        <mc:Fallback>
          <w:pict>
            <v:shape id="_x0000_s1030" type="#_x0000_t202" style="position:absolute;margin-left:56.850000000000001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10214610</wp:posOffset>
              </wp:positionV>
              <wp:extent cx="734695" cy="128270"/>
              <wp:wrapNone/>
              <wp:docPr id="6" name="Shape 6"/>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2026-23499</w:t>
                          </w:r>
                        </w:p>
                      </w:txbxContent>
                    </wps:txbx>
                    <wps:bodyPr wrap="none" lIns="0" tIns="0" rIns="0" bIns="0">
                      <a:spAutoFit/>
                    </wps:bodyPr>
                  </wps:wsp>
                </a:graphicData>
              </a:graphic>
            </wp:anchor>
          </w:drawing>
        </mc:Choice>
        <mc:Fallback>
          <w:pict>
            <v:shape id="_x0000_s1032" type="#_x0000_t202" style="position:absolute;margin-left:57.pt;margin-top:804.30000000000007pt;width:57.850000000000001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2026-23499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10092690</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wps:txbx>
                    <wps:bodyPr wrap="none" lIns="0" tIns="0" rIns="0" bIns="0">
                      <a:spAutoFit/>
                    </wps:bodyPr>
                  </wps:wsp>
                </a:graphicData>
              </a:graphic>
            </wp:anchor>
          </w:drawing>
        </mc:Choice>
        <mc:Fallback>
          <w:pict>
            <v:shape id="_x0000_s1040" type="#_x0000_t202" style="position:absolute;margin-left:56.850000000000001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721995</wp:posOffset>
              </wp:positionH>
              <wp:positionV relativeFrom="page">
                <wp:posOffset>10092690</wp:posOffset>
              </wp:positionV>
              <wp:extent cx="722630" cy="103505"/>
              <wp:wrapNone/>
              <wp:docPr id="20" name="Shape 2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wps:txbx>
                    <wps:bodyPr wrap="none" lIns="0" tIns="0" rIns="0" bIns="0">
                      <a:spAutoFit/>
                    </wps:bodyPr>
                  </wps:wsp>
                </a:graphicData>
              </a:graphic>
            </wp:anchor>
          </w:drawing>
        </mc:Choice>
        <mc:Fallback>
          <w:pict>
            <v:shape id="_x0000_s1046" type="#_x0000_t202" style="position:absolute;margin-left:56.850000000000001pt;margin-top:794.70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2026-23499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3886200</wp:posOffset>
              </wp:positionH>
              <wp:positionV relativeFrom="page">
                <wp:posOffset>213360</wp:posOffset>
              </wp:positionV>
              <wp:extent cx="130810" cy="69850"/>
              <wp:wrapNone/>
              <wp:docPr id="2" name="Shape 2"/>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pt;margin-top:16.800000000000001pt;width:10.300000000000001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305435</wp:posOffset>
              </wp:positionV>
              <wp:extent cx="76200" cy="69850"/>
              <wp:wrapNone/>
              <wp:docPr id="10" name="Shape 10"/>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pt;margin-top:24.050000000000001pt;width:6.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3886200</wp:posOffset>
              </wp:positionH>
              <wp:positionV relativeFrom="page">
                <wp:posOffset>213360</wp:posOffset>
              </wp:positionV>
              <wp:extent cx="130810" cy="69850"/>
              <wp:wrapNone/>
              <wp:docPr id="12" name="Shape 12"/>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6.pt;margin-top:16.800000000000001pt;width:10.300000000000001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305435</wp:posOffset>
              </wp:positionV>
              <wp:extent cx="76200" cy="69850"/>
              <wp:wrapNone/>
              <wp:docPr id="16" name="Shape 16"/>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9.pt;margin-top:24.050000000000001pt;width:6.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3886200</wp:posOffset>
              </wp:positionH>
              <wp:positionV relativeFrom="page">
                <wp:posOffset>213360</wp:posOffset>
              </wp:positionV>
              <wp:extent cx="130810" cy="69850"/>
              <wp:wrapNone/>
              <wp:docPr id="18" name="Shape 18"/>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4" type="#_x0000_t202" style="position:absolute;margin-left:306.pt;margin-top:16.800000000000001pt;width:10.300000000000001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