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3"/>
          <w:b/>
          <w:bCs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3"/>
          <w:b/>
          <w:bCs/>
        </w:rPr>
        <w:t>УПРАВЛЕНИЕ</w:t>
        <w:br/>
        <w:t>Федеральной антимонопольной службы</w:t>
        <w:br/>
        <w:t>по Хабаровскому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sz w:val="16"/>
          <w:szCs w:val="16"/>
        </w:rPr>
        <w:t>680000, г. Хабаровск, ул. Запарина, 67</w:t>
        <w:br/>
        <w:t>тел./факс (4212) 32-40-57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7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sz w:val="16"/>
          <w:szCs w:val="16"/>
          <w:lang w:val="en-US" w:eastAsia="en-US"/>
        </w:rPr>
        <w:t xml:space="preserve">e-mail: </w:t>
      </w:r>
      <w:r>
        <w:fldChar w:fldCharType="begin"/>
      </w:r>
      <w:r>
        <w:rPr/>
        <w:instrText> HYPERLINK "mailto:to27@fas.gov.ru" </w:instrText>
      </w:r>
      <w:r>
        <w:fldChar w:fldCharType="separate"/>
      </w:r>
      <w:r>
        <w:rPr>
          <w:rStyle w:val="CharStyle3"/>
          <w:sz w:val="16"/>
          <w:szCs w:val="16"/>
          <w:lang w:val="en-US" w:eastAsia="en-US"/>
        </w:rPr>
        <w:t>to27@fas.gov.ru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1814" w:val="left"/>
        </w:tabs>
        <w:bidi w:val="0"/>
        <w:spacing w:before="0" w:after="320" w:line="240" w:lineRule="auto"/>
        <w:ind w:left="0" w:right="0" w:firstLine="0"/>
        <w:jc w:val="center"/>
        <w:rPr>
          <w:sz w:val="30"/>
          <w:szCs w:val="30"/>
        </w:rPr>
      </w:pPr>
      <w:r>
        <w:rPr>
          <w:rStyle w:val="CharStyle9"/>
          <w:sz w:val="30"/>
          <w:szCs w:val="30"/>
          <w:u w:val="single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9"/>
          <w:sz w:val="30"/>
          <w:szCs w:val="30"/>
          <w:u w:val="single"/>
        </w:rPr>
        <w:t>9.05.2026</w:t>
      </w:r>
      <w:r>
        <w:rPr>
          <w:rStyle w:val="CharStyle9"/>
          <w:sz w:val="30"/>
          <w:szCs w:val="30"/>
        </w:rPr>
        <w:tab/>
      </w:r>
      <w:r>
        <w:fldChar w:fldCharType="end"/>
      </w:r>
      <w:r>
        <w:rPr>
          <w:rStyle w:val="CharStyle9"/>
          <w:sz w:val="30"/>
          <w:szCs w:val="30"/>
        </w:rPr>
        <w:t xml:space="preserve">№ </w:t>
      </w:r>
      <w:r>
        <w:rPr>
          <w:rStyle w:val="CharStyle9"/>
          <w:sz w:val="30"/>
          <w:szCs w:val="30"/>
          <w:u w:val="single"/>
        </w:rPr>
        <w:t>ЛИ/5081/2</w:t>
      </w:r>
      <w:r>
        <w:rPr>
          <w:rStyle w:val="CharStyle9"/>
          <w:sz w:val="30"/>
          <w:szCs w:val="30"/>
        </w:rPr>
        <w:t>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3"/>
          <w:sz w:val="18"/>
          <w:szCs w:val="18"/>
        </w:rPr>
        <w:t xml:space="preserve">На №  от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rStyle w:val="CharStyle9"/>
        </w:rPr>
        <w:t>ФГБУ «ФЦССХ» Минздрава России (г. Хабаровск)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9"/>
        </w:rPr>
        <w:t>ИП Кравченко Алексей Викторович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1155" w:bottom="1221" w:left="1135" w:header="0" w:footer="3" w:gutter="0"/>
          <w:pgNumType w:start="1"/>
          <w:cols w:num="2" w:space="941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"mailto:info@gosfarm.ru" </w:instrText>
      </w:r>
      <w:r>
        <w:fldChar w:fldCharType="separate"/>
      </w:r>
      <w:r>
        <w:rPr>
          <w:rStyle w:val="CharStyle9"/>
          <w:lang w:val="en-US" w:eastAsia="en-US"/>
        </w:rPr>
        <w:t>info@gosfarm.ru</w:t>
      </w:r>
      <w:r>
        <w:fldChar w:fldCharType="end"/>
      </w:r>
    </w:p>
    <w:p>
      <w:pPr>
        <w:widowControl w:val="0"/>
        <w:spacing w:before="71" w:after="7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9" w:right="0" w:bottom="124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22"/>
          <w:sz w:val="24"/>
          <w:szCs w:val="24"/>
        </w:rPr>
        <w:t>О направлении решения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25"/>
          <w:b/>
          <w:bCs/>
        </w:rPr>
        <w:t>РЕШЕНИЕ № 7-1/119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tabs>
          <w:tab w:pos="8645" w:val="left"/>
        </w:tabs>
        <w:bidi w:val="0"/>
        <w:spacing w:before="0" w:after="340" w:line="240" w:lineRule="auto"/>
        <w:ind w:left="0" w:right="0" w:firstLine="0"/>
        <w:jc w:val="left"/>
      </w:pPr>
      <w:r>
        <w:rPr>
          <w:rStyle w:val="CharStyle9"/>
        </w:rPr>
        <w:t>14.05.2026</w:t>
        <w:tab/>
        <w:t>г. Хабаровск</w:t>
      </w:r>
    </w:p>
    <w:tbl>
      <w:tblPr>
        <w:tblOverlap w:val="never"/>
        <w:jc w:val="center"/>
        <w:tblLayout w:type="fixed"/>
      </w:tblPr>
      <w:tblGrid>
        <w:gridCol w:w="5880"/>
        <w:gridCol w:w="4382"/>
      </w:tblGrid>
      <w:tr>
        <w:trPr>
          <w:trHeight w:val="80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both"/>
            </w:pPr>
            <w:r>
              <w:rPr>
                <w:rStyle w:val="CharStyle27"/>
              </w:rPr>
              <w:t>Комиссия Управления Федеральной Хабаровскому краю в составе: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both"/>
            </w:pPr>
            <w:r>
              <w:rPr>
                <w:rStyle w:val="CharStyle27"/>
              </w:rPr>
              <w:t>антимонопольной службы по</w:t>
            </w:r>
          </w:p>
        </w:tc>
      </w:tr>
      <w:tr>
        <w:trPr>
          <w:trHeight w:val="970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rStyle w:val="CharStyle27"/>
              </w:rPr>
              <w:t>Председатель Комиссии: Л.А. Ильченко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rStyle w:val="CharStyle27"/>
              </w:rPr>
              <w:t>- заместитель руководителя управления;</w:t>
            </w:r>
          </w:p>
        </w:tc>
      </w:tr>
      <w:tr>
        <w:trPr>
          <w:trHeight w:val="965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tabs>
                <w:tab w:pos="3317" w:val="left"/>
              </w:tabs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rStyle w:val="CharStyle27"/>
              </w:rPr>
              <w:t>Члены Комиссии:</w:t>
              <w:tab/>
              <w:t>Н.А. Андреева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rStyle w:val="CharStyle27"/>
              </w:rPr>
              <w:t>- начальник отдела контроля закупок;</w:t>
            </w:r>
          </w:p>
        </w:tc>
      </w:tr>
      <w:tr>
        <w:trPr>
          <w:trHeight w:val="83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900" w:firstLine="0"/>
              <w:jc w:val="right"/>
            </w:pPr>
            <w:r>
              <w:rPr>
                <w:rStyle w:val="CharStyle27"/>
              </w:rPr>
              <w:t>И.Н. Черевко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rStyle w:val="CharStyle27"/>
              </w:rPr>
              <w:t>- главный специалист-эксперт отдела контроля закупок.</w:t>
            </w:r>
          </w:p>
        </w:tc>
      </w:tr>
    </w:tbl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в отсутствии представителей: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от ИП Кравченко А.В. (о дате времени и месте рассмотрения уведомлены надлежащим образом);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в присутствии представителей: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от заказчика - ФГБУ «ФЦССХ» Минздрава России (г. Хабаровск): Примакова Т.М. (доверенность от 22.09.2025 № 23);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9"/>
        </w:rPr>
        <w:t xml:space="preserve">рассмотрев жалобу ИП Кравченко А.В. и материалы дела № </w:t>
      </w:r>
      <w:r>
        <w:rPr>
          <w:rStyle w:val="CharStyle9"/>
          <w:lang w:val="en-US" w:eastAsia="en-US"/>
        </w:rPr>
        <w:t>027/06/105</w:t>
        <w:softHyphen/>
      </w:r>
      <w:r>
        <w:rPr>
          <w:rStyle w:val="CharStyle9"/>
        </w:rPr>
      </w:r>
      <w:r>
        <w:rPr>
          <w:rStyle w:val="CharStyle9"/>
          <w:lang w:val="en-US" w:eastAsia="en-US"/>
        </w:rPr>
        <w:t>805/2026,</w:t>
      </w:r>
      <w:r>
        <w:rPr>
          <w:rStyle w:val="CharStyle9"/>
        </w:rPr>
        <w:t xml:space="preserve"> Комиссия Хабаровского УФАС России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9"/>
          <w:b/>
          <w:bCs/>
        </w:rPr>
        <w:t>УСТАНОВИЛА: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740"/>
        <w:jc w:val="both"/>
      </w:pPr>
      <w:r>
        <w:rPr>
          <w:rStyle w:val="CharStyle9"/>
        </w:rPr>
        <w:t>В Управление Федеральной антимонопольной службы по Хабаровскому краю поступила жалоба ИП Кравченко А.В. на действия заказчика – ФГБУ «ФЦССХ»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30"/>
        </w:rPr>
        <w:t>1IIIIIIIIIIIIIIIIIIIIIII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 xml:space="preserve">Минздрава России (г. Хабаровск) при осуществлении электронного аукциона на поставку медицинских изделий для аритмологии (извещение </w:t>
      </w:r>
      <w:r>
        <w:rPr>
          <w:rStyle w:val="CharStyle9"/>
          <w:lang w:val="en-US" w:eastAsia="en-US"/>
        </w:rPr>
        <w:t>№ 0322100002526000205).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Заявитель указывает в своей жалобе, что извещение о проведении электронного аукциона не соответствует требованиям Федерального закона от </w:t>
      </w:r>
      <w:r>
        <w:rPr>
          <w:rStyle w:val="CharStyle9"/>
          <w:lang w:val="en-US" w:eastAsia="en-US"/>
        </w:rPr>
        <w:t xml:space="preserve">05.04.2013 № </w:t>
      </w:r>
      <w:r>
        <w:rPr>
          <w:rStyle w:val="CharStyle9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>Закон о контрактной системе).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В содержании жалобы указаны следующие доводы: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установлены дополнительные характеристики, не предусмотренные позицией КТРУ,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5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установлены требования лицензий и СРО на поставку медоборудования,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5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закупаются товары с разными ОКПД и разных направлений,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5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указание на конкретную модель единственного производителя,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незаконны требования Заказчика: актирование, переписка, иные действия, связанные с исполнением контракта в сторонних программных продуктах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кроме Единой Информационной Системы. 44ФЗ предусмотрены все действия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>включая актирование, претензионную переписку, иные действия только в системе ЕИС. Данные требования и прикреплённые файлы во вкладке «Документы» Извещения Заказчика противоречат структурной части контракта и должны быть удалены.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5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не установлено ограничение по ПП </w:t>
      </w:r>
      <w:r>
        <w:rPr>
          <w:rStyle w:val="CharStyle9"/>
          <w:lang w:val="en-US" w:eastAsia="en-US"/>
        </w:rPr>
        <w:t xml:space="preserve">878 </w:t>
      </w:r>
      <w:r>
        <w:rPr>
          <w:rStyle w:val="CharStyle9"/>
        </w:rPr>
        <w:t>и 126н,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5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установлены ограничения по ПП РФ </w:t>
      </w:r>
      <w:r>
        <w:rPr>
          <w:rStyle w:val="CharStyle9"/>
          <w:lang w:val="en-US" w:eastAsia="en-US"/>
        </w:rPr>
        <w:t>№ 1875,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технические характеристики не соответствуют ни одному оборудованию российского производства,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не сформулировал требования к программному обеспечению, является ли оно предустановленным либо поставляемым, чем нарушил часть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7 </w:t>
      </w:r>
      <w:r>
        <w:rPr>
          <w:rStyle w:val="CharStyle9"/>
        </w:rPr>
        <w:t xml:space="preserve">Закона о контрактной системе, а также не применил постановление Правительства от </w:t>
      </w:r>
      <w:r>
        <w:rPr>
          <w:rStyle w:val="CharStyle9"/>
          <w:lang w:val="en-US" w:eastAsia="en-US"/>
        </w:rPr>
        <w:t xml:space="preserve">16.11.2015 </w:t>
      </w:r>
      <w:r>
        <w:rPr>
          <w:rStyle w:val="CharStyle9"/>
        </w:rPr>
        <w:t xml:space="preserve">г. </w:t>
      </w:r>
      <w:r>
        <w:rPr>
          <w:rStyle w:val="CharStyle9"/>
          <w:lang w:val="en-US" w:eastAsia="en-US"/>
        </w:rPr>
        <w:t>№ 1236,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в техническом задании отсутствует файл, в четком соответствии со структурным вариантом в ЕИС, чем нарушается пункт </w:t>
      </w:r>
      <w:r>
        <w:rPr>
          <w:rStyle w:val="CharStyle9"/>
          <w:lang w:val="en-US" w:eastAsia="en-US"/>
        </w:rPr>
        <w:t xml:space="preserve">7 </w:t>
      </w:r>
      <w:r>
        <w:rPr>
          <w:rStyle w:val="CharStyle9"/>
        </w:rPr>
        <w:t>Правил использования КТРУ,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в проекте контракта, размещенного в ЕИС, отсутствует срок действия и окончания контракта, в извещении не указаны контактные данные сотрудников конечного получателя и функционального заказчика ЛПУ.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Кроме того, по сведениям подателя жалобы, по результатам проведения закупки подана одна заявка, что подтверждает, по его мнению, довод об ограничении конкуренции.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На основании статьи </w:t>
      </w:r>
      <w:r>
        <w:rPr>
          <w:rStyle w:val="CharStyle9"/>
          <w:lang w:val="en-US" w:eastAsia="en-US"/>
        </w:rPr>
        <w:t xml:space="preserve">99 </w:t>
      </w:r>
      <w:r>
        <w:rPr>
          <w:rStyle w:val="CharStyle9"/>
        </w:rPr>
        <w:t>Закона о контрактной системе, Хабаровским УФАС России принято решение о проведении внеплановой проверки, по результатам проведения которой установлено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Извещение </w:t>
      </w:r>
      <w:r>
        <w:rPr>
          <w:rStyle w:val="CharStyle9"/>
          <w:lang w:val="en-US" w:eastAsia="en-US"/>
        </w:rPr>
        <w:t xml:space="preserve">№ </w:t>
      </w:r>
      <w:r>
        <w:rPr>
          <w:rStyle w:val="CharStyle9"/>
        </w:rPr>
        <w:t xml:space="preserve">0322100002526000205о проведении электронного аукциона размещено на официальном сайте единой информационной системы в сфере закупок </w:t>
      </w:r>
      <w:r>
        <w:rPr>
          <w:rStyle w:val="CharStyle9"/>
          <w:lang w:val="en-US" w:eastAsia="en-US"/>
        </w:rPr>
        <w:t>23.04.2026.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Объект закупки: поставка медицинских изделий для аритмологии.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Начальная (максимальная) цена контракта составляет </w:t>
      </w:r>
      <w:r>
        <w:rPr>
          <w:rStyle w:val="CharStyle9"/>
          <w:lang w:val="en-US" w:eastAsia="en-US"/>
        </w:rPr>
        <w:t xml:space="preserve">21 700 000,00 </w:t>
      </w:r>
      <w:r>
        <w:rPr>
          <w:rStyle w:val="CharStyle9"/>
        </w:rPr>
        <w:t>рублей.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Дата и время окончания срока подачи заявок: </w:t>
      </w:r>
      <w:r>
        <w:rPr>
          <w:rStyle w:val="CharStyle9"/>
          <w:lang w:val="en-US" w:eastAsia="en-US"/>
        </w:rPr>
        <w:t>06.05.2026 10:00.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В ходе проведения внеплановой проверки заказчиком представлен мотивированный отзыв, в соответствии с которым жалобу считают необоснованной.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Изучив материалы дела </w:t>
      </w:r>
      <w:r>
        <w:rPr>
          <w:rStyle w:val="CharStyle9"/>
          <w:lang w:val="en-US" w:eastAsia="en-US"/>
        </w:rPr>
        <w:t xml:space="preserve">№ 027/06/105-805/2026, </w:t>
      </w:r>
      <w:r>
        <w:rPr>
          <w:rStyle w:val="CharStyle9"/>
        </w:rPr>
        <w:t>исходя из конкретных обстоятельств настоящего дела, Комиссия Хабаровского УФАС России пришла к следующим выводам.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 соответствии с ч.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ст.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>Закона о контрактной системе настоящий Федеральный закон регулирует 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Исходя из положений ст. </w:t>
      </w:r>
      <w:r>
        <w:rPr>
          <w:rStyle w:val="CharStyle9"/>
          <w:lang w:val="en-US" w:eastAsia="en-US"/>
        </w:rPr>
        <w:t xml:space="preserve">7 </w:t>
      </w:r>
      <w:r>
        <w:rPr>
          <w:rStyle w:val="CharStyle9"/>
        </w:rPr>
        <w:t xml:space="preserve">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закупок. Открытость и прозрачность информации, </w:t>
      </w:r>
      <w:r>
        <w:rPr>
          <w:rStyle w:val="CharStyle9"/>
          <w:lang w:val="en-US" w:eastAsia="en-US"/>
        </w:rPr>
        <w:t xml:space="preserve">, </w:t>
      </w:r>
      <w:r>
        <w:rPr>
          <w:rStyle w:val="CharStyle9"/>
        </w:rPr>
        <w:t>обеспечиваются, в частности, путем ее размещения в единой информационной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Согласно ч.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 xml:space="preserve">ст. </w:t>
      </w:r>
      <w:r>
        <w:rPr>
          <w:rStyle w:val="CharStyle9"/>
          <w:lang w:val="en-US" w:eastAsia="en-US"/>
        </w:rPr>
        <w:t xml:space="preserve">7 </w:t>
      </w:r>
      <w:r>
        <w:rPr>
          <w:rStyle w:val="CharStyle9"/>
        </w:rPr>
        <w:t>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Согласно пункту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2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42 </w:t>
      </w:r>
      <w:r>
        <w:rPr>
          <w:rStyle w:val="CharStyle9"/>
        </w:rPr>
        <w:t xml:space="preserve">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</w:t>
      </w:r>
      <w:r>
        <w:rPr>
          <w:rStyle w:val="CharStyle9"/>
          <w:lang w:val="en-US" w:eastAsia="en-US"/>
        </w:rPr>
        <w:t xml:space="preserve">33 </w:t>
      </w:r>
      <w:r>
        <w:rPr>
          <w:rStyle w:val="CharStyle9"/>
        </w:rPr>
        <w:t>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 силу пункта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33 </w:t>
      </w:r>
      <w:r>
        <w:rPr>
          <w:rStyle w:val="CharStyle9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Из пункта </w:t>
      </w:r>
      <w:r>
        <w:rPr>
          <w:rStyle w:val="CharStyle9"/>
          <w:lang w:val="en-US" w:eastAsia="en-US"/>
        </w:rPr>
        <w:t xml:space="preserve">2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33 </w:t>
      </w:r>
      <w:r>
        <w:rPr>
          <w:rStyle w:val="CharStyle9"/>
        </w:rPr>
        <w:t>Закона о контрактной системе следует необходимость использования заказчиком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 соответствии с частью </w:t>
      </w:r>
      <w:r>
        <w:rPr>
          <w:rStyle w:val="CharStyle9"/>
          <w:lang w:val="en-US" w:eastAsia="en-US"/>
        </w:rPr>
        <w:t xml:space="preserve">2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33 </w:t>
      </w:r>
      <w:r>
        <w:rPr>
          <w:rStyle w:val="CharStyle9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33 </w:t>
      </w:r>
      <w:r>
        <w:rPr>
          <w:rStyle w:val="CharStyle9"/>
        </w:rPr>
        <w:t>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и(или) минимальные значения таких показателей и (или) значения показателей, которые не могут изменяться.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Согласно пункту </w:t>
      </w:r>
      <w:r>
        <w:rPr>
          <w:rStyle w:val="CharStyle9"/>
          <w:lang w:val="en-US" w:eastAsia="en-US"/>
        </w:rPr>
        <w:t xml:space="preserve">5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42 </w:t>
      </w:r>
      <w:r>
        <w:rPr>
          <w:rStyle w:val="CharStyle9"/>
        </w:rPr>
        <w:t xml:space="preserve">Закона о контактной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наименование объекта закупки;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9"/>
          <w:lang w:val="en-US" w:eastAsia="en-US"/>
        </w:rPr>
        <w:t xml:space="preserve">6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23 </w:t>
      </w:r>
      <w:r>
        <w:rPr>
          <w:rStyle w:val="CharStyle9"/>
        </w:rPr>
        <w:t>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Часть </w:t>
      </w:r>
      <w:r>
        <w:rPr>
          <w:rStyle w:val="CharStyle9"/>
          <w:lang w:val="en-US" w:eastAsia="en-US"/>
        </w:rPr>
        <w:t xml:space="preserve">6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23 </w:t>
      </w:r>
      <w:r>
        <w:rPr>
          <w:rStyle w:val="CharStyle9"/>
        </w:rPr>
        <w:t xml:space="preserve">Закона о контрактной системе устанавливает,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 (далее </w:t>
      </w:r>
      <w:r>
        <w:rPr>
          <w:rStyle w:val="CharStyle9"/>
          <w:lang w:val="en-US" w:eastAsia="en-US"/>
        </w:rPr>
        <w:t xml:space="preserve">— </w:t>
      </w:r>
      <w:r>
        <w:rPr>
          <w:rStyle w:val="CharStyle9"/>
        </w:rPr>
        <w:t xml:space="preserve">Правила формирования КТРУ), а также правила использования указанного каталога (далее </w:t>
      </w:r>
      <w:r>
        <w:rPr>
          <w:rStyle w:val="CharStyle9"/>
          <w:lang w:val="en-US" w:eastAsia="en-US"/>
        </w:rPr>
        <w:t xml:space="preserve">— </w:t>
      </w:r>
      <w:r>
        <w:rPr>
          <w:rStyle w:val="CharStyle9"/>
        </w:rPr>
        <w:t>Правила использования КТРУ) устанавливаются Правительством Российской Федерации.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Правила формирования КТРУ и Правила использования КТРУ утверждены постановлением Правительства Российской Федерации от </w:t>
      </w:r>
      <w:r>
        <w:rPr>
          <w:rStyle w:val="CharStyle9"/>
          <w:lang w:val="en-US" w:eastAsia="en-US"/>
        </w:rPr>
        <w:t xml:space="preserve">08.02.2017 № 145 </w:t>
      </w:r>
      <w:r>
        <w:rPr>
          <w:rStyle w:val="CharStyle9"/>
        </w:rPr>
        <w:t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Из пункта </w:t>
      </w:r>
      <w:r>
        <w:rPr>
          <w:rStyle w:val="CharStyle9"/>
          <w:lang w:val="en-US" w:eastAsia="en-US"/>
        </w:rPr>
        <w:t xml:space="preserve">4 </w:t>
      </w:r>
      <w:r>
        <w:rPr>
          <w:rStyle w:val="CharStyle9"/>
        </w:rPr>
        <w:t xml:space="preserve">Правил использования КТРУ следует, что заказчики обязаны применять информацию, включенную в позицию каталога в соответствии с подпунктами «б»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 xml:space="preserve">«г» и «е»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 xml:space="preserve">«з» пункта </w:t>
      </w:r>
      <w:r>
        <w:rPr>
          <w:rStyle w:val="CharStyle9"/>
          <w:lang w:val="en-US" w:eastAsia="en-US"/>
        </w:rPr>
        <w:t xml:space="preserve">10 </w:t>
      </w:r>
      <w:r>
        <w:rPr>
          <w:rStyle w:val="CharStyle9"/>
        </w:rPr>
        <w:t>Правил формирования КТРУ, с указанной в ней даты начала обязательного применения.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наименование товара, работы, услуги;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описание товара, работы, услуги (при наличии такого описания в позиции).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На основании анализа положений извещения о проведении электронного аукциона, сформированных с использованием ЕИС при заполнении экранных форм веб-интерфейса ЕИС (часть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42 </w:t>
      </w:r>
      <w:r>
        <w:rPr>
          <w:rStyle w:val="CharStyle9"/>
        </w:rPr>
        <w:t xml:space="preserve">Закона о контрактной системе, пункт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 xml:space="preserve">Положения о порядке формирования и размещения информации и документов в единой информационной системе в сфере закупок, о требованиях к их формам, утвержденного постановлением Правительства Российской Федерации от </w:t>
      </w:r>
      <w:r>
        <w:rPr>
          <w:rStyle w:val="CharStyle9"/>
          <w:lang w:val="en-US" w:eastAsia="en-US"/>
        </w:rPr>
        <w:t xml:space="preserve">27.01.2022 № 60), </w:t>
      </w:r>
      <w:r>
        <w:rPr>
          <w:rStyle w:val="CharStyle9"/>
        </w:rPr>
        <w:t xml:space="preserve">а также при прикреплении электронных документов (часть </w:t>
      </w:r>
      <w:r>
        <w:rPr>
          <w:rStyle w:val="CharStyle9"/>
          <w:lang w:val="en-US" w:eastAsia="en-US"/>
        </w:rPr>
        <w:t xml:space="preserve">2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42 </w:t>
      </w:r>
      <w:r>
        <w:rPr>
          <w:rStyle w:val="CharStyle9"/>
        </w:rPr>
        <w:t xml:space="preserve">Закона о контрактной системе, пункт </w:t>
      </w:r>
      <w:r>
        <w:rPr>
          <w:rStyle w:val="CharStyle9"/>
          <w:lang w:val="en-US" w:eastAsia="en-US"/>
        </w:rPr>
        <w:t xml:space="preserve">4 </w:t>
      </w:r>
      <w:r>
        <w:rPr>
          <w:rStyle w:val="CharStyle9"/>
        </w:rPr>
        <w:t xml:space="preserve">вышеуказанного Положения), Комиссия установила, что заказчиком осуществляется закупка медицинского изделия: Отведение электрокардиостимулятора эндокардиальное, МРТ совместимое, соответствующего позиции КТРУ </w:t>
      </w:r>
      <w:r>
        <w:rPr>
          <w:rStyle w:val="CharStyle9"/>
          <w:lang w:val="en-US" w:eastAsia="en-US"/>
        </w:rPr>
        <w:t>26.60.14.110-00000033.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Проанализировав содержание позиции КТРУ </w:t>
      </w:r>
      <w:r>
        <w:rPr>
          <w:rStyle w:val="CharStyle9"/>
          <w:lang w:val="en-US" w:eastAsia="en-US"/>
        </w:rPr>
        <w:t xml:space="preserve">26.60.14.110-00000033, </w:t>
      </w:r>
      <w:r>
        <w:rPr>
          <w:rStyle w:val="CharStyle9"/>
        </w:rPr>
        <w:t xml:space="preserve">фактическое содержание описания объекта закупки, сформированное при заполнении экранных форм веб-интерфейса ЕИС и соответствующего электронного документа, а также сопоставив их содержание между собой, Комиссия установила, что, так как в позиции КТРУ отсутствуют характеристики, заказчик самостоятельно установил в извещении характеристики закупаемого товара, работы, услуги в соответствии со ст. </w:t>
      </w:r>
      <w:r>
        <w:rPr>
          <w:rStyle w:val="CharStyle9"/>
          <w:lang w:val="en-US" w:eastAsia="en-US"/>
        </w:rPr>
        <w:t xml:space="preserve">33 </w:t>
      </w:r>
      <w:r>
        <w:rPr>
          <w:rStyle w:val="CharStyle9"/>
        </w:rPr>
        <w:t>Закона о контрактной системе, определив в описании объекта закупки объективно требуемые характеристики и их показатели.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Следовательно, указанные действия совершены во исполнение подпункта «а» пункта </w:t>
      </w:r>
      <w:r>
        <w:rPr>
          <w:rStyle w:val="CharStyle9"/>
          <w:lang w:val="en-US" w:eastAsia="en-US"/>
        </w:rPr>
        <w:t xml:space="preserve">5 </w:t>
      </w:r>
      <w:r>
        <w:rPr>
          <w:rStyle w:val="CharStyle9"/>
        </w:rPr>
        <w:t>Правила использования КТРУ, не вступают в противоречие с требованиями законодательства о контрактной системе в сфере закупок, вопреки утверждению подателя жалобы об обратном.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Также закупаемый товар с кодом ОКПД </w:t>
      </w:r>
      <w:r>
        <w:rPr>
          <w:rStyle w:val="CharStyle9"/>
          <w:lang w:val="en-US" w:eastAsia="en-US"/>
        </w:rPr>
        <w:t xml:space="preserve">2 26.60.14.110 </w:t>
      </w:r>
      <w:r>
        <w:rPr>
          <w:rStyle w:val="CharStyle9"/>
        </w:rPr>
        <w:t xml:space="preserve">отсутствует в Перечне </w:t>
      </w:r>
      <w:r>
        <w:rPr>
          <w:rStyle w:val="CharStyle9"/>
          <w:lang w:val="en-US" w:eastAsia="en-US"/>
        </w:rPr>
        <w:t xml:space="preserve">№ 1 </w:t>
      </w:r>
      <w:r>
        <w:rPr>
          <w:rStyle w:val="CharStyle9"/>
        </w:rPr>
        <w:t xml:space="preserve">и Перечне </w:t>
      </w:r>
      <w:r>
        <w:rPr>
          <w:rStyle w:val="CharStyle9"/>
          <w:lang w:val="en-US" w:eastAsia="en-US"/>
        </w:rPr>
        <w:t xml:space="preserve">№ 2, </w:t>
      </w:r>
      <w:r>
        <w:rPr>
          <w:rStyle w:val="CharStyle9"/>
        </w:rPr>
        <w:t xml:space="preserve">утвержденных постановлением Правительства Российской Федерации от </w:t>
      </w:r>
      <w:r>
        <w:rPr>
          <w:rStyle w:val="CharStyle9"/>
          <w:lang w:val="en-US" w:eastAsia="en-US"/>
        </w:rPr>
        <w:t xml:space="preserve">23.12.2024 № 1875 </w:t>
      </w:r>
      <w:r>
        <w:rPr>
          <w:rStyle w:val="CharStyle9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 xml:space="preserve">Постановление </w:t>
      </w:r>
      <w:r>
        <w:rPr>
          <w:rStyle w:val="CharStyle9"/>
          <w:lang w:val="en-US" w:eastAsia="en-US"/>
        </w:rPr>
        <w:t xml:space="preserve">№1875). </w:t>
      </w:r>
      <w:r>
        <w:rPr>
          <w:rStyle w:val="CharStyle9"/>
        </w:rPr>
        <w:t>Следовательно, в извещении об осуществлении закупок правомерно установлено преимущество в отношении товаров российского происхождения, выполняемых работ, оказываемых услуг российскими лицами.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В отношении доводов подателя жалобы о том, что установленные заказчиком требования в описании объекта закупки привели к ограничению конкуренции, поскольку характеристикам, указанным в описании объекта закупки, в полном объеме соответствует продукция только одного производителя, а также на участие в электронном аукционе подана единственная заявка, Комиссия сообщает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Положения статьи </w:t>
      </w:r>
      <w:r>
        <w:rPr>
          <w:rStyle w:val="CharStyle9"/>
          <w:lang w:val="en-US" w:eastAsia="en-US"/>
        </w:rPr>
        <w:t xml:space="preserve">6 </w:t>
      </w:r>
      <w:r>
        <w:rPr>
          <w:rStyle w:val="CharStyle9"/>
        </w:rPr>
        <w:t>Закона о контрактной системе устанавливают, что контрактная система в сфере закупок основывается на принципах открытости, прозрачности информации о контрактной системе в сфере закупок, обеспечения конкуренции, профессионализма заказчиков, стимулирования инноваций,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Законом о контрактной системе,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 (часть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12 </w:t>
      </w:r>
      <w:r>
        <w:rPr>
          <w:rStyle w:val="CharStyle9"/>
        </w:rPr>
        <w:t>Закона о контрактной системе).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Таким образом, принципы обеспечения конкуренции и ответственности за результативность обеспечения государственных и муниципальных нужд, эффективности осуществления закупок являются равнозначными и подлежащими соблюдению в равной степени во всех случаях.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Более того, основной задачей законодательства, устанавливающего порядок проведения торгов в целях удовлетворения государственных и муниципальных нужд, является не столько обеспечение максимально широкого круга участников,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закупок. В торгах могут участвовать лишь те лица, которые соответствуют названным целям. При этом для достижения указанной цели заказчик вправе в необходимой степени детализировать объект закупки (его характеристики) и в торгах могут участвовать лишь те лица, которые соответствуют названным целям.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Таким образом, включение в документацию о торгах условий, которые в итоге приводят к исключению из круга участников закупки лиц, не отвечающих таким целям, не может рассматриваться как ограничение доступа к участию в торгах.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Возможное сужение круга участников закупки с одновременным повышением эффективности использования финансирования (обеспечением его экономии) не может само по себе рассматриваться в качестве нарушения требований Закона о защите конкуренции. Аналогичная правовая позиция отражена в Обзоре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(утв. Президиумом Верховного Суда РФ </w:t>
      </w:r>
      <w:r>
        <w:rPr>
          <w:rStyle w:val="CharStyle9"/>
          <w:lang w:val="en-US" w:eastAsia="en-US"/>
        </w:rPr>
        <w:t>28.06.2017).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Выше по тексту настоящего решения Комиссией установлено, что при формировании описания объекта закупки заказчик исходил из требований как КТРУ </w:t>
      </w:r>
      <w:r>
        <w:rPr>
          <w:rStyle w:val="CharStyle9"/>
          <w:lang w:val="en-US" w:eastAsia="en-US"/>
        </w:rPr>
        <w:t xml:space="preserve">26.60.14.110-00000033, </w:t>
      </w:r>
      <w:r>
        <w:rPr>
          <w:rStyle w:val="CharStyle9"/>
        </w:rPr>
        <w:t>так и фактической потребности заказчика, обусловленной получением оборудования, необходимого для достижения максимального результата при оказании своевременной и качественной медицинской помощи.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Из документов, представленных заказчиком, следует, что при формировании описания объекта закупки и обосновании начальной (максимальной) цены контракта на поставку медицинских изделий заказчик, будучи участником гражданских правоотношений, добросовестно исходил из наличия на момент проведении закупки на рынке предложений о поставке оборудования (различных моделей) не менее чем двух независимых производителей, характеристики которого соответствуют описанию объекта закупки: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Электрод стимулирующий/воспринимающий </w:t>
      </w:r>
      <w:r>
        <w:rPr>
          <w:rStyle w:val="CharStyle9"/>
          <w:lang w:val="en-US" w:eastAsia="en-US"/>
        </w:rPr>
        <w:t xml:space="preserve">Ingevity </w:t>
      </w:r>
      <w:r>
        <w:rPr>
          <w:rStyle w:val="CharStyle9"/>
        </w:rPr>
        <w:t>для кардиостимуляции. Производитель «Кардиак Пейсмейкере, Инк.» Дочерняя компания «Бостон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 xml:space="preserve">Сайентифик Корпорейшн», Соединенные Штаты Америки </w:t>
      </w:r>
      <w:r>
        <w:rPr>
          <w:rStyle w:val="CharStyle9"/>
          <w:lang w:val="en-US" w:eastAsia="en-US"/>
        </w:rPr>
        <w:t>P3H 2023/21513;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6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9"/>
        </w:rPr>
        <w:t xml:space="preserve">Электрод для кардиостимуляции имплантируемый. Вариант исполнения </w:t>
      </w:r>
      <w:r>
        <w:rPr>
          <w:rStyle w:val="CharStyle9"/>
          <w:lang w:val="en-US" w:eastAsia="en-US"/>
        </w:rPr>
        <w:t xml:space="preserve">Tendril. </w:t>
      </w:r>
      <w:r>
        <w:rPr>
          <w:rStyle w:val="CharStyle9"/>
        </w:rPr>
        <w:t xml:space="preserve">Производитель </w:t>
      </w:r>
      <w:r>
        <w:rPr>
          <w:rStyle w:val="CharStyle9"/>
          <w:lang w:val="en-US" w:eastAsia="en-US"/>
        </w:rPr>
        <w:t xml:space="preserve">Abbott Medical </w:t>
      </w:r>
      <w:r>
        <w:rPr>
          <w:rStyle w:val="CharStyle9"/>
        </w:rPr>
        <w:t xml:space="preserve">(Эбботт Медикал), Соединенные Штаты Америки, ФСЗ </w:t>
      </w:r>
      <w:r>
        <w:rPr>
          <w:rStyle w:val="CharStyle9"/>
          <w:lang w:val="en-US" w:eastAsia="en-US"/>
        </w:rPr>
        <w:t>2012/12615.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Одновременно с вышеизложенным, Комиссия сообщает подателю жалобы о том, что законодательство о контрактной системе в сфере закупок не обязывает заказчика формировать описание объекта закупки таким образом, чтобы ему в обязательном порядке соответствовал товар российского происхождения двух производителей, вопреки достижению цели проведения электронной процедуры в приобретении товара, отвечающего объективно существующей потребности заказчика.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Учитывая изложенное, Комиссия приходит к выводу о том, что заявленные подателем жалобы доводы в рассматриваемой части не находят своего подтверждения в ходе рассмотрения жалобы Комиссией по существу.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В отношении доводов заявителя о предъявлении требований к наличиию лицензии и СРО на поставку медоборудования, Комиссия Хабаровского УФАС России отмечает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Согласно п. </w:t>
      </w:r>
      <w:r>
        <w:rPr>
          <w:rStyle w:val="CharStyle9"/>
          <w:lang w:val="en-US" w:eastAsia="en-US"/>
        </w:rPr>
        <w:t xml:space="preserve">8 </w:t>
      </w:r>
      <w:r>
        <w:rPr>
          <w:rStyle w:val="CharStyle9"/>
        </w:rPr>
        <w:t>Информационной карты перечень документов, подтверждающих соответствие товара требованиям, установленным в соответствии с законодательством Российской Федерации: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копия регистрационного удостоверения или реестровая запись из государственного реестра на медицинское изделие, являющееся предметом контракта, подлежащее обращению на территории Российской Федерации.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Заказчиком не предъявлялись требования к наличию лицензии и СРО на поставку медоборудования.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 отношении доводов подателя жалобы о том, что при проведении электронного аукциона заказчиком неправомерно не применены положения Постановления </w:t>
      </w:r>
      <w:r>
        <w:rPr>
          <w:rStyle w:val="CharStyle9"/>
          <w:lang w:val="en-US" w:eastAsia="en-US"/>
        </w:rPr>
        <w:t xml:space="preserve">№ 1236, </w:t>
      </w:r>
      <w:r>
        <w:rPr>
          <w:rStyle w:val="CharStyle9"/>
        </w:rPr>
        <w:t xml:space="preserve">не однозначно сформулированы требования в отношении программного обеспечения, фактически закупается программа </w:t>
      </w:r>
      <w:r>
        <w:rPr>
          <w:rStyle w:val="CharStyle9"/>
          <w:lang w:val="en-US" w:eastAsia="en-US"/>
        </w:rPr>
        <w:t xml:space="preserve">DICOM, </w:t>
      </w:r>
      <w:r>
        <w:rPr>
          <w:rStyle w:val="CharStyle9"/>
        </w:rPr>
        <w:t>которая является самостоятельным продуктом и ее необходимо закупать отдельно, Комиссия сообщает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На основании пункта </w:t>
      </w:r>
      <w:r>
        <w:rPr>
          <w:rStyle w:val="CharStyle9"/>
          <w:lang w:val="en-US" w:eastAsia="en-US"/>
        </w:rPr>
        <w:t xml:space="preserve">15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42 </w:t>
      </w:r>
      <w:r>
        <w:rPr>
          <w:rStyle w:val="CharStyle9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статьей </w:t>
      </w:r>
      <w:r>
        <w:rPr>
          <w:rStyle w:val="CharStyle9"/>
          <w:lang w:val="en-US" w:eastAsia="en-US"/>
        </w:rPr>
        <w:t xml:space="preserve">14 </w:t>
      </w:r>
      <w:r>
        <w:rPr>
          <w:rStyle w:val="CharStyle9"/>
        </w:rPr>
        <w:t xml:space="preserve">Закона о контрактной системе. Заявка на участие в закупке должна содержать информацию и документы, предусмотренные, в том числе, пунктом </w:t>
      </w:r>
      <w:r>
        <w:rPr>
          <w:rStyle w:val="CharStyle9"/>
          <w:lang w:val="en-US" w:eastAsia="en-US"/>
        </w:rPr>
        <w:t xml:space="preserve">5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43 </w:t>
      </w:r>
      <w:r>
        <w:rPr>
          <w:rStyle w:val="CharStyle9"/>
        </w:rPr>
        <w:t>Закона о контрактной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 xml:space="preserve">системе (часть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49 </w:t>
      </w:r>
      <w:r>
        <w:rPr>
          <w:rStyle w:val="CharStyle9"/>
        </w:rPr>
        <w:t>Закона о контрактной системе).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Пунктом </w:t>
      </w:r>
      <w:r>
        <w:rPr>
          <w:rStyle w:val="CharStyle9"/>
          <w:lang w:val="en-US" w:eastAsia="en-US"/>
        </w:rPr>
        <w:t xml:space="preserve">5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43 </w:t>
      </w:r>
      <w:r>
        <w:rPr>
          <w:rStyle w:val="CharStyle9"/>
        </w:rPr>
        <w:t xml:space="preserve">Закона о контрактной системе предусмотрено, что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документы, предусмотренные нормативными правовыми актами, принятыми в соответствии с частями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 xml:space="preserve">и </w:t>
      </w:r>
      <w:r>
        <w:rPr>
          <w:rStyle w:val="CharStyle9"/>
          <w:lang w:val="en-US" w:eastAsia="en-US"/>
        </w:rPr>
        <w:t xml:space="preserve">4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14 </w:t>
      </w:r>
      <w:r>
        <w:rPr>
          <w:rStyle w:val="CharStyle9"/>
        </w:rPr>
        <w:t>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запреты, ограничения, условия допуска).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В силу части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14 </w:t>
      </w:r>
      <w:r>
        <w:rPr>
          <w:rStyle w:val="CharStyle9"/>
        </w:rPr>
        <w:t xml:space="preserve">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 xml:space="preserve">российское лицо), за исключением случаев принятия Правительством Российской Федерации мер, предусмотренных пунктом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2 </w:t>
      </w:r>
      <w:r>
        <w:rPr>
          <w:rStyle w:val="CharStyle9"/>
        </w:rPr>
        <w:t xml:space="preserve">настоящей статьи. Если иное не предусмотрено мерами, принятыми Правительством Российской Федерации в соответствии с пунктом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2 </w:t>
      </w:r>
      <w:r>
        <w:rPr>
          <w:rStyle w:val="CharStyle9"/>
        </w:rPr>
        <w:t>настоящей статьи,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Во исполнение статьи </w:t>
      </w:r>
      <w:r>
        <w:rPr>
          <w:rStyle w:val="CharStyle9"/>
          <w:lang w:val="en-US" w:eastAsia="en-US"/>
        </w:rPr>
        <w:t xml:space="preserve">14 </w:t>
      </w:r>
      <w:r>
        <w:rPr>
          <w:rStyle w:val="CharStyle9"/>
        </w:rPr>
        <w:t xml:space="preserve">Закона о контрактной системе Правительством Российской Федерации принято Постановление </w:t>
      </w:r>
      <w:r>
        <w:rPr>
          <w:rStyle w:val="CharStyle9"/>
          <w:lang w:val="en-US" w:eastAsia="en-US"/>
        </w:rPr>
        <w:t>№ 1875.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Абзацем четвертым пункта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Постановления </w:t>
      </w:r>
      <w:r>
        <w:rPr>
          <w:rStyle w:val="CharStyle9"/>
          <w:lang w:val="en-US" w:eastAsia="en-US"/>
        </w:rPr>
        <w:t xml:space="preserve">№ 1875 </w:t>
      </w:r>
      <w:r>
        <w:rPr>
          <w:rStyle w:val="CharStyle9"/>
        </w:rPr>
        <w:t>установлено 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Закупаемый товар с кодом ОКПД </w:t>
      </w:r>
      <w:r>
        <w:rPr>
          <w:rStyle w:val="CharStyle9"/>
          <w:lang w:val="en-US" w:eastAsia="en-US"/>
        </w:rPr>
        <w:t xml:space="preserve">2 26.60.14.110 </w:t>
      </w:r>
      <w:r>
        <w:rPr>
          <w:rStyle w:val="CharStyle9"/>
        </w:rPr>
        <w:t xml:space="preserve">отсутствует в Перечне </w:t>
      </w:r>
      <w:r>
        <w:rPr>
          <w:rStyle w:val="CharStyle9"/>
          <w:lang w:val="en-US" w:eastAsia="en-US"/>
        </w:rPr>
        <w:t xml:space="preserve">№ 1 </w:t>
      </w:r>
      <w:r>
        <w:rPr>
          <w:rStyle w:val="CharStyle9"/>
        </w:rPr>
        <w:t xml:space="preserve">и Перечне </w:t>
      </w:r>
      <w:r>
        <w:rPr>
          <w:rStyle w:val="CharStyle9"/>
          <w:lang w:val="en-US" w:eastAsia="en-US"/>
        </w:rPr>
        <w:t xml:space="preserve">№ 2, </w:t>
      </w:r>
      <w:r>
        <w:rPr>
          <w:rStyle w:val="CharStyle9"/>
        </w:rPr>
        <w:t xml:space="preserve">утвержденных Постановлением </w:t>
      </w:r>
      <w:r>
        <w:rPr>
          <w:rStyle w:val="CharStyle9"/>
          <w:lang w:val="en-US" w:eastAsia="en-US"/>
        </w:rPr>
        <w:t xml:space="preserve">№ 1875. </w:t>
      </w:r>
      <w:r>
        <w:rPr>
          <w:rStyle w:val="CharStyle9"/>
        </w:rPr>
        <w:t>Следовательно, в извещении об осуществлении закупок правомерно установлено преимущество в отношении товаров российского происхождения, выполняемых работ, оказываемых услуг российскими лицами.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Наряду с вышеизложенным, Комиссия установила, что согласно части </w:t>
      </w:r>
      <w:r>
        <w:rPr>
          <w:rStyle w:val="CharStyle9"/>
          <w:lang w:val="en-US" w:eastAsia="en-US"/>
        </w:rPr>
        <w:t xml:space="preserve">2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14 </w:t>
      </w:r>
      <w:r>
        <w:rPr>
          <w:rStyle w:val="CharStyle9"/>
        </w:rPr>
        <w:t>Закона о контрактной системе Правительство Российской Федерации: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вправе с учетом положений части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>настоящей статьи принимать меры, устанавливающие:</w:t>
      </w:r>
    </w:p>
    <w:p>
      <w:pPr>
        <w:pStyle w:val="Style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определяет информацию и перечень документов, которые подтверждают страну происхождения товара для целей настоящего Федерального закона, в случае принятия мер, предусмотренных пунктом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>настоящей части.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 обоснование своей позиции податель жалобы указывает, что закупаемый товар содержит в своем составе программное обеспечение (фактически закупается программа </w:t>
      </w:r>
      <w:r>
        <w:rPr>
          <w:rStyle w:val="CharStyle9"/>
          <w:lang w:val="en-US" w:eastAsia="en-US"/>
        </w:rPr>
        <w:t xml:space="preserve">DICOM), </w:t>
      </w:r>
      <w:r>
        <w:rPr>
          <w:rStyle w:val="CharStyle9"/>
        </w:rPr>
        <w:t>в связи с чем, заказчик был обязан установить запрет на допуск программного обеспечения, происходящего из иностранных государств.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При этом, программное обеспечение содержится в позиции </w:t>
      </w:r>
      <w:r>
        <w:rPr>
          <w:rStyle w:val="CharStyle9"/>
          <w:lang w:val="en-US" w:eastAsia="en-US"/>
        </w:rPr>
        <w:t xml:space="preserve">146 </w:t>
      </w:r>
      <w:r>
        <w:rPr>
          <w:rStyle w:val="CharStyle9"/>
        </w:rPr>
        <w:t xml:space="preserve">Приложения </w:t>
      </w:r>
      <w:r>
        <w:rPr>
          <w:rStyle w:val="CharStyle9"/>
          <w:lang w:val="en-US" w:eastAsia="en-US"/>
        </w:rPr>
        <w:t xml:space="preserve">№ 1 </w:t>
      </w:r>
      <w:r>
        <w:rPr>
          <w:rStyle w:val="CharStyle9"/>
        </w:rPr>
        <w:t xml:space="preserve">Постановления </w:t>
      </w:r>
      <w:r>
        <w:rPr>
          <w:rStyle w:val="CharStyle9"/>
          <w:lang w:val="en-US" w:eastAsia="en-US"/>
        </w:rPr>
        <w:t xml:space="preserve">№ 1875 - </w:t>
      </w:r>
      <w:r>
        <w:rPr>
          <w:rStyle w:val="CharStyle9"/>
        </w:rPr>
        <w:t>Программа для электронной вычислительной машины и (или) базы данных.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Согласно подпункту «о» пункта </w:t>
      </w:r>
      <w:r>
        <w:rPr>
          <w:rStyle w:val="CharStyle9"/>
          <w:lang w:val="en-US" w:eastAsia="en-US"/>
        </w:rPr>
        <w:t xml:space="preserve">4 </w:t>
      </w:r>
      <w:r>
        <w:rPr>
          <w:rStyle w:val="CharStyle9"/>
        </w:rPr>
        <w:t xml:space="preserve">Постановления </w:t>
      </w:r>
      <w:r>
        <w:rPr>
          <w:rStyle w:val="CharStyle9"/>
          <w:lang w:val="en-US" w:eastAsia="en-US"/>
        </w:rPr>
        <w:t xml:space="preserve">№ 1875 </w:t>
      </w:r>
      <w:r>
        <w:rPr>
          <w:rStyle w:val="CharStyle9"/>
        </w:rPr>
        <w:t xml:space="preserve">предусмотренный пунктом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настоящего постановления запрет закупок программного обеспечения, указанного в позиции </w:t>
      </w:r>
      <w:r>
        <w:rPr>
          <w:rStyle w:val="CharStyle9"/>
          <w:lang w:val="en-US" w:eastAsia="en-US"/>
        </w:rPr>
        <w:t xml:space="preserve">146 </w:t>
      </w:r>
      <w:r>
        <w:rPr>
          <w:rStyle w:val="CharStyle9"/>
        </w:rPr>
        <w:t xml:space="preserve">приложения </w:t>
      </w:r>
      <w:r>
        <w:rPr>
          <w:rStyle w:val="CharStyle9"/>
          <w:lang w:val="en-US" w:eastAsia="en-US"/>
        </w:rPr>
        <w:t xml:space="preserve">№ 1 </w:t>
      </w:r>
      <w:r>
        <w:rPr>
          <w:rStyle w:val="CharStyle9"/>
        </w:rPr>
        <w:t>к настоящему постановлению: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кже применяется, если такое программное обеспечение включено в состав объекта закупки наряду с иными товарами, работами, услугами;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именяется в отношении программного обеспечения, реализуемого, независимо от вида договора, на материальном носителе и (или) в электронном виде по каналам связи, а также исключительных прав на программное обеспечение и прав использования программного обеспечения;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не применяется при осуществлении закупок программного обеспечения, сведения о котором и (или) о закупке которого составляют государственную тайну.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 случае осуществления закупок, предметом которых является поставка компьютерного оборудования, запрет применяется в случае, если программное обеспечение подлежит установке в результате исполнения контракта (письмо Минфина России от </w:t>
      </w:r>
      <w:r>
        <w:rPr>
          <w:rStyle w:val="CharStyle9"/>
          <w:lang w:val="en-US" w:eastAsia="en-US"/>
        </w:rPr>
        <w:t>30.04.2020 № 24-03-06/35429).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Комиссией установлено, что, согласно извещению о проведении электронного аукциона, запрет, предусмотренный положениями Постановления </w:t>
      </w:r>
      <w:r>
        <w:rPr>
          <w:rStyle w:val="CharStyle9"/>
          <w:lang w:val="en-US" w:eastAsia="en-US"/>
        </w:rPr>
        <w:t xml:space="preserve">№ 1875, </w:t>
      </w:r>
      <w:r>
        <w:rPr>
          <w:rStyle w:val="CharStyle9"/>
        </w:rPr>
        <w:t>заказчиком не установлен.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Анализ положений извещения о проведении электронного аукциона показал Комиссии, что таким извещением не предусмотрена необходимость установки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 xml:space="preserve">программного обеспечения и передачи прав на него вследствие выполнения контрактных обязательств, кроме того в описании объекта закупки отсутствует требование о наличии в поставляемом оборудовании программы </w:t>
      </w:r>
      <w:r>
        <w:rPr>
          <w:rStyle w:val="CharStyle9"/>
          <w:lang w:val="en-US" w:eastAsia="en-US"/>
        </w:rPr>
        <w:t xml:space="preserve">DICOM, </w:t>
      </w:r>
      <w:r>
        <w:rPr>
          <w:rStyle w:val="CharStyle9"/>
        </w:rPr>
        <w:t>вопреки утверждению подателя жалобы об обратном.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Постановлением </w:t>
      </w:r>
      <w:r>
        <w:rPr>
          <w:rStyle w:val="CharStyle9"/>
          <w:lang w:val="en-US" w:eastAsia="en-US"/>
        </w:rPr>
        <w:t xml:space="preserve">№ 1875 </w:t>
      </w:r>
      <w:r>
        <w:rPr>
          <w:rStyle w:val="CharStyle9"/>
        </w:rPr>
        <w:t>не предусмотрены случаи установления запрета закупок программного обеспечения, когда объектом закупки является медицинское оборудование с предустановленным программным обеспечением, без которого применение такого оборудования по назначению невозможно, и в закупке не предусмотрена необходимость установки программного обеспечения, а также передачи прав на него.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Указанные выводы подтверждаются письмами ФАС России от </w:t>
      </w:r>
      <w:r>
        <w:rPr>
          <w:rStyle w:val="CharStyle9"/>
          <w:lang w:val="en-US" w:eastAsia="en-US"/>
        </w:rPr>
        <w:t xml:space="preserve">03.02.2023 № </w:t>
      </w:r>
      <w:r>
        <w:rPr>
          <w:rStyle w:val="CharStyle9"/>
        </w:rPr>
        <w:t xml:space="preserve">ПИ/7495/23, Минцифры России от </w:t>
      </w:r>
      <w:r>
        <w:rPr>
          <w:rStyle w:val="CharStyle9"/>
          <w:lang w:val="en-US" w:eastAsia="en-US"/>
        </w:rPr>
        <w:t xml:space="preserve">15.12.2022 № </w:t>
      </w:r>
      <w:r>
        <w:rPr>
          <w:rStyle w:val="CharStyle9"/>
        </w:rPr>
        <w:t>П11-2-05-106-94501.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Исходя из вышеизложенного, Комиссия приходит к выводу о том, что не установление заказчиком запрета, предусмотренного Постановлением </w:t>
      </w:r>
      <w:r>
        <w:rPr>
          <w:rStyle w:val="CharStyle9"/>
          <w:lang w:val="en-US" w:eastAsia="en-US"/>
        </w:rPr>
        <w:t xml:space="preserve">№ 1236, </w:t>
      </w:r>
      <w:r>
        <w:rPr>
          <w:rStyle w:val="CharStyle9"/>
        </w:rPr>
        <w:t>является правомерным и не противоречит положениям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В отношении довода подателя жалобы о том, что в проекте контракта отсутствует срок его действия и окончания, Комиссия установила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 силу пункта </w:t>
      </w:r>
      <w:r>
        <w:rPr>
          <w:rStyle w:val="CharStyle9"/>
          <w:lang w:val="en-US" w:eastAsia="en-US"/>
        </w:rPr>
        <w:t xml:space="preserve">5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2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42 </w:t>
      </w:r>
      <w:r>
        <w:rPr>
          <w:rStyle w:val="CharStyle9"/>
        </w:rPr>
        <w:t>Закона о контрактной системе извещение об осуществлении закупки, если иное не предусмотрено Законом о контрактной системе, должно содержать электронный документ с проектом контракта.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Анализ фактического содержания проекта контракта, размещенного в составе извещения о проведении электронного аукциона, показал Комиссии, что вопреки утверждению подателя жалобы об обратном в извещении о закупке, а так же проекте контракта содержится срок исполнения контракта, место поставки товара, срок исполнения контракта: с даты заключения контракта по </w:t>
      </w:r>
      <w:r>
        <w:rPr>
          <w:rStyle w:val="CharStyle9"/>
          <w:lang w:val="en-US" w:eastAsia="en-US"/>
        </w:rPr>
        <w:t xml:space="preserve">31.12.2026 </w:t>
      </w:r>
      <w:r>
        <w:rPr>
          <w:rStyle w:val="CharStyle9"/>
        </w:rPr>
        <w:t>года, что не противоречит требованиям законодательства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Таким образом, в рассматриваемой части довод подателя жалобы не нашел своего подтверждения в ходе рассмотрения жалобы по существу.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Также вопреки утверждению подателя жалобы об обратном заказчиком, уполномоченным органом в ЕИС размещены как контактные данные лица, ответственного за проводимую закупку, в разделе контактная информация, так и указано место доставки оборудования, приобретаемого по результатам проведения электронного аукциона, что не препятствует участнику закупки в расчете себестоимости поставки такого оборудования.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Следовательно, в рассматриваемой части довод подателя жалобы не подлежит признанию Комиссией обоснованным.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Относительно довода подателя жалобы о том, что действия заказчика, уполномоченного органа образуют нарушение требований Закона о защите конкуренции, Комиссия сообщает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Закон о защите конкуренции не регулирует отношения, указанные в части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>Закона о контрактной системе, поскольку из положений Закона о защите конкуренции следует общий запрет на осуществление действий, которые приводят или могут привести к недопущению, ограничению или устранению конкуренции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при проведении торгов.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В соответствии с частью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2 </w:t>
      </w:r>
      <w:r>
        <w:rPr>
          <w:rStyle w:val="CharStyle9"/>
        </w:rPr>
        <w:t>Закона о контрактной системе, Закон о защите конкуренции также не входит в систему законодательства о контрактной системе в сфере закупок, вследствие чего Комиссия не может давать оценку действий заказчика, уполномоченного органа при проведении закупки на предмет наличия признаков нарушения Закона о защите конкуренции.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В отношении ходатайства подателя жалобы о передаче материалов и довода жалобы в орган внутреннего государственного (муниципального) финансового контроля для проведения проверки обоснования начальной (максимальной) цены контракта и продлении сроков рассмотрения антимонопольным органом жалобы по существу, исходя из результатов указанной проверки, Комиссия считает необходимым сообщить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Из положений статьи </w:t>
      </w:r>
      <w:r>
        <w:rPr>
          <w:rStyle w:val="CharStyle9"/>
          <w:lang w:val="en-US" w:eastAsia="en-US"/>
        </w:rPr>
        <w:t xml:space="preserve">99 </w:t>
      </w:r>
      <w:r>
        <w:rPr>
          <w:rStyle w:val="CharStyle9"/>
        </w:rPr>
        <w:t>Закона о контрактной системе следует, что федеральный орган исполнительной власти, уполномоченный на осуществление контроля в сфере закупок (ФАС России и ее территориальные органы), наделен полномочиями на осуществление контроля за действиями субъектов контроля в сфере закупок.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При осуществлении закупки заказчик на основании статьи </w:t>
      </w:r>
      <w:r>
        <w:rPr>
          <w:rStyle w:val="CharStyle9"/>
          <w:lang w:val="en-US" w:eastAsia="en-US"/>
        </w:rPr>
        <w:t xml:space="preserve">22, </w:t>
      </w:r>
      <w:r>
        <w:rPr>
          <w:rStyle w:val="CharStyle9"/>
        </w:rPr>
        <w:t xml:space="preserve">частей </w:t>
      </w:r>
      <w:r>
        <w:rPr>
          <w:rStyle w:val="CharStyle9"/>
          <w:lang w:val="en-US" w:eastAsia="en-US"/>
        </w:rPr>
        <w:t xml:space="preserve">1, 2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42 </w:t>
      </w:r>
      <w:r>
        <w:rPr>
          <w:rStyle w:val="CharStyle9"/>
        </w:rPr>
        <w:t>Закона о контрактной системе формирует и размещает в единой информационной системе извещение об осуществлении закупки, содержащее, в том числе, обоснование начальной (максимальной) цены контракта.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Проанализировав извещение о проведении закупки, Комиссия в пределах полномочий установила, что такое извещение содержит, в том числе, начальную (максимальную) цену контракта, а также ее обоснование, что само по себе не противоречит требованиям законодательства о контрактной системе в сфере закупок.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При этом в силу части </w:t>
      </w:r>
      <w:r>
        <w:rPr>
          <w:rStyle w:val="CharStyle9"/>
          <w:lang w:val="en-US" w:eastAsia="en-US"/>
        </w:rPr>
        <w:t xml:space="preserve">8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99 </w:t>
      </w:r>
      <w:r>
        <w:rPr>
          <w:rStyle w:val="CharStyle9"/>
        </w:rPr>
        <w:t xml:space="preserve">Закона о контрактной системе контроль за определением и обоснованием начальной (максимальной) цены контракта уполномочены осуществлять органы внутреннего государственного (муниципального) финансового контроля. Следовательно, Хабаровское УФАС России, действующее в соответствии с положением о территориальном органе Федеральной антимонопольной службы, утвержденным Приказом ФАС России от </w:t>
      </w:r>
      <w:r>
        <w:rPr>
          <w:rStyle w:val="CharStyle9"/>
          <w:lang w:val="en-US" w:eastAsia="en-US"/>
        </w:rPr>
        <w:t xml:space="preserve">23.07.2015 № 649/15, </w:t>
      </w:r>
      <w:r>
        <w:rPr>
          <w:rStyle w:val="CharStyle9"/>
        </w:rPr>
        <w:t xml:space="preserve">с учетом содержания статьи </w:t>
      </w:r>
      <w:r>
        <w:rPr>
          <w:rStyle w:val="CharStyle9"/>
          <w:lang w:val="en-US" w:eastAsia="en-US"/>
        </w:rPr>
        <w:t xml:space="preserve">99 </w:t>
      </w:r>
      <w:r>
        <w:rPr>
          <w:rStyle w:val="CharStyle9"/>
        </w:rPr>
        <w:t>Закона о контрактной системе не наделено полномочиями по осуществлению контроля за действиями заказчика при определении и обосновании им начальной (максимальной) цены контракта, заключаемого по результатам проведения закупки.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На основании вышеизложенного, Комиссия считает необходимым направить в рассматриваемой части жалобу в адрес органа внутреннего финансового контроля для рассмотрения по существу.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При этом, учитывая предусмотренную частью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106 </w:t>
      </w:r>
      <w:r>
        <w:rPr>
          <w:rStyle w:val="CharStyle9"/>
        </w:rPr>
        <w:t>Закона о контрактной системе императивную обязанность контрольного органа в сфере закупок рассмотреть жалобу по существу в течение пяти рабочих дней с даты поступления такой жалобы, в отсутствие возможности продления срока рассмотрения такой жалобы по какой-либо причине, в том числе, по причине необходимости получения результатов проверки органом внутреннего</w:t>
      </w:r>
      <w:r>
        <w:br w:type="page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государственного (муниципального) финансового контроля действий субъекта контроля в части правомерности обоснования начальной (максимальной) цены контракта при проведении закупки, у Комиссии отсутствуют правовые основания для удовлетворения ходатайства подателя жалобы в рассматриваемой части.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9"/>
        </w:rPr>
        <w:t xml:space="preserve">На основании изложенного, руководствуясь ст.ст. </w:t>
      </w:r>
      <w:r>
        <w:rPr>
          <w:rStyle w:val="CharStyle9"/>
          <w:lang w:val="en-US" w:eastAsia="en-US"/>
        </w:rPr>
        <w:t xml:space="preserve">99, 106 </w:t>
      </w:r>
      <w:r>
        <w:rPr>
          <w:rStyle w:val="CharStyle9"/>
        </w:rPr>
        <w:t xml:space="preserve">Закона </w:t>
      </w:r>
      <w:r>
        <w:rPr>
          <w:rStyle w:val="CharStyle9"/>
          <w:lang w:val="en-US" w:eastAsia="en-US"/>
        </w:rPr>
        <w:t xml:space="preserve">№ </w:t>
      </w:r>
      <w:r>
        <w:rPr>
          <w:rStyle w:val="CharStyle9"/>
        </w:rPr>
        <w:t>44-ФЗ, Комиссия Хабаровского УФАС России,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9"/>
          <w:b/>
          <w:bCs/>
        </w:rPr>
        <w:t>РЕШИЛА: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Признать жалобу ИП Кравченко А.В. на действия заказчика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 xml:space="preserve">ФГБУ «ФЦССХ» Минздрава России (г. Хабаровск) при осуществлении электронного аукциона на поставку медицинских изделий для аритмологии (извещение </w:t>
      </w:r>
      <w:r>
        <w:rPr>
          <w:rStyle w:val="CharStyle9"/>
          <w:lang w:val="en-US" w:eastAsia="en-US"/>
        </w:rPr>
        <w:t xml:space="preserve">№ 0322100002526000205) </w:t>
      </w:r>
      <w:r>
        <w:rPr>
          <w:rStyle w:val="CharStyle9"/>
        </w:rPr>
        <w:t>необоснованной.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Передать материалы по жалобе ИП Кравченко Алексея Викторовича в адрес органов внутреннего финансового контроля для рассмотрения по существу в части соблюдения субъектами контроля требований законодательства о контрактной системе в сфере закупок при определении и обосновании начальной (максимальной) цены контракта.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Передать материалы по жалобе ИП Кравченко Алексея Викторовича уполномоченному должностному лицу Хабаровского УФАС России для рассмотрения в порядке, предусмотренном Федеральным законом от </w:t>
      </w:r>
      <w:r>
        <w:rPr>
          <w:rStyle w:val="CharStyle9"/>
          <w:lang w:val="en-US" w:eastAsia="en-US"/>
        </w:rPr>
        <w:t xml:space="preserve">26.07.2006 </w:t>
      </w:r>
      <w:r>
        <w:rPr>
          <w:rStyle w:val="CharStyle9"/>
        </w:rPr>
        <w:t>№135-ФЗ «О защите конкуренции».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Настоящее решение может быть обжаловано в Арбитражный суд Хабаровского края в течение трех месяцев со дня его оглашения.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9" w:right="536" w:bottom="1243" w:left="109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688975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330200</wp:posOffset>
                </wp:positionV>
                <wp:extent cx="1825625" cy="24701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200000000000003pt;margin-top:26.pt;width:143.75pt;height:19.449999999999999pt;z-index:-125829375;mso-wrap-distance-left:0;mso-wrap-distance-top:26.pt;mso-wrap-distance-right:0;mso-wrap-distance-bottom:54.2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94335" distB="341630" distL="0" distR="1786255" simplePos="0" relativeHeight="125829380" behindDoc="0" locked="0" layoutInCell="1" allowOverlap="1">
            <wp:simplePos x="0" y="0"/>
            <wp:positionH relativeFrom="page">
              <wp:posOffset>2647315</wp:posOffset>
            </wp:positionH>
            <wp:positionV relativeFrom="paragraph">
              <wp:posOffset>394335</wp:posOffset>
            </wp:positionV>
            <wp:extent cx="365760" cy="53022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6576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808990</wp:posOffset>
                </wp:positionV>
                <wp:extent cx="1283335" cy="10033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5.40000000000001pt;margin-top:63.70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492125</wp:posOffset>
                </wp:positionV>
                <wp:extent cx="1722120" cy="25908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2.30000000000001pt;margin-top:38.7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80390" distB="460375" distL="0" distR="0" simplePos="0" relativeHeight="125829381" behindDoc="0" locked="0" layoutInCell="1" allowOverlap="1">
                <wp:simplePos x="0" y="0"/>
                <wp:positionH relativeFrom="page">
                  <wp:posOffset>6061075</wp:posOffset>
                </wp:positionH>
                <wp:positionV relativeFrom="paragraph">
                  <wp:posOffset>580390</wp:posOffset>
                </wp:positionV>
                <wp:extent cx="1124585" cy="22542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9"/>
                              </w:rPr>
                              <w:t>Л.А. Ильченко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77.25pt;margin-top:45.700000000000003pt;width:88.549999999999997pt;height:17.75pt;z-index:-125829372;mso-wrap-distance-left:0;mso-wrap-distance-top:45.700000000000003pt;mso-wrap-distance-right:0;mso-wrap-distance-bottom:36.2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9"/>
                        </w:rPr>
                        <w:t>Л.А. Ильченко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12825" distB="635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1012825</wp:posOffset>
                </wp:positionV>
                <wp:extent cx="1344295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950000000000003pt;margin-top:79.75pt;width:105.85000000000001pt;height:19.900000000000002pt;z-index:-125829370;mso-wrap-distance-left:0;mso-wrap-distance-top:79.75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63930" distB="3810" distL="0" distR="0" simplePos="0" relativeHeight="125829385" behindDoc="0" locked="0" layoutInCell="1" allowOverlap="1">
                <wp:simplePos x="0" y="0"/>
                <wp:positionH relativeFrom="page">
                  <wp:posOffset>2668270</wp:posOffset>
                </wp:positionH>
                <wp:positionV relativeFrom="paragraph">
                  <wp:posOffset>963930</wp:posOffset>
                </wp:positionV>
                <wp:extent cx="2142490" cy="29845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2490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17"/>
                                <w:color w:val="000000"/>
                              </w:rPr>
                              <w:t>Ильченко Лариса Александровна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17"/>
                                <w:color w:val="292929"/>
                              </w:rPr>
                              <w:t xml:space="preserve">№ </w:t>
                            </w:r>
                            <w:r>
                              <w:rPr>
                                <w:rStyle w:val="CharStyle17"/>
                                <w:lang w:val="en-US" w:eastAsia="en-US"/>
                              </w:rPr>
                              <w:t>050ECF23B3D4A96CD3E9AFE748448EAE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Действителен с 06.1</w:t>
                            </w:r>
                            <w:r>
                              <w:rPr>
                                <w:rStyle w:val="CharStyle17"/>
                                <w:color w:val="292929"/>
                              </w:rPr>
                              <w:t>1</w:t>
                            </w:r>
                            <w:r>
                              <w:rPr>
                                <w:rStyle w:val="CharStyle17"/>
                                <w:color w:val="5C5C5C"/>
                              </w:rPr>
                              <w:t xml:space="preserve">.2025 по </w:t>
                            </w:r>
                            <w:r>
                              <w:rPr>
                                <w:rStyle w:val="CharStyle17"/>
                                <w:color w:val="292929"/>
                              </w:rPr>
                              <w:t>30.01</w:t>
                            </w:r>
                            <w:r>
                              <w:rPr>
                                <w:rStyle w:val="CharStyle17"/>
                              </w:rPr>
                              <w:t>.2027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10.09999999999999pt;margin-top:75.900000000000006pt;width:168.70000000000002pt;height:23.5pt;z-index:-125829368;mso-wrap-distance-left:0;mso-wrap-distance-top:75.900000000000006pt;mso-wrap-distance-right:0;mso-wrap-distance-bottom:0.29999999999999999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 xml:space="preserve">Кому выдан: </w:t>
                      </w:r>
                      <w:r>
                        <w:rPr>
                          <w:rStyle w:val="CharStyle17"/>
                          <w:color w:val="000000"/>
                        </w:rPr>
                        <w:t>Ильченко Лариса Александровна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 xml:space="preserve">Сертификат </w:t>
                      </w:r>
                      <w:r>
                        <w:rPr>
                          <w:rStyle w:val="CharStyle17"/>
                          <w:color w:val="292929"/>
                        </w:rPr>
                        <w:t xml:space="preserve">№ </w:t>
                      </w:r>
                      <w:r>
                        <w:rPr>
                          <w:rStyle w:val="CharStyle17"/>
                          <w:lang w:val="en-US" w:eastAsia="en-US"/>
                        </w:rPr>
                        <w:t>050ECF23B3D4A96CD3E9AFE748448EAE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Действителен с 06.1</w:t>
                      </w:r>
                      <w:r>
                        <w:rPr>
                          <w:rStyle w:val="CharStyle17"/>
                          <w:color w:val="292929"/>
                        </w:rPr>
                        <w:t>1</w:t>
                      </w:r>
                      <w:r>
                        <w:rPr>
                          <w:rStyle w:val="CharStyle17"/>
                          <w:color w:val="5C5C5C"/>
                        </w:rPr>
                        <w:t xml:space="preserve">.2025 по </w:t>
                      </w:r>
                      <w:r>
                        <w:rPr>
                          <w:rStyle w:val="CharStyle17"/>
                          <w:color w:val="292929"/>
                        </w:rPr>
                        <w:t>30.01</w:t>
                      </w:r>
                      <w:r>
                        <w:rPr>
                          <w:rStyle w:val="CharStyle17"/>
                        </w:rPr>
                        <w:t>.2027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2646680</wp:posOffset>
            </wp:positionH>
            <wp:positionV relativeFrom="paragraph">
              <wp:posOffset>12700</wp:posOffset>
            </wp:positionV>
            <wp:extent cx="365760" cy="560705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65760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3115945</wp:posOffset>
                </wp:positionH>
                <wp:positionV relativeFrom="paragraph">
                  <wp:posOffset>454660</wp:posOffset>
                </wp:positionV>
                <wp:extent cx="1283335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34999999999999pt;margin-top:35.800000000000004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137795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25pt;margin-top:10.85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1127760</wp:posOffset>
            </wp:positionV>
            <wp:extent cx="359410" cy="52451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1532890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5.40000000000001pt;margin-top:120.7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1216025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2.25pt;margin-top:95.75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right"/>
      </w:pPr>
      <w:r>
        <w:rPr>
          <w:rStyle w:val="CharStyle9"/>
        </w:rPr>
        <w:t>Н.А. Андреева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</w:rPr>
        <w:t>Андреева Наталья Анатольевна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Сертификат </w:t>
      </w:r>
      <w:r>
        <w:rPr>
          <w:rStyle w:val="CharStyle17"/>
          <w:color w:val="292929"/>
        </w:rPr>
        <w:t xml:space="preserve">№ </w:t>
      </w:r>
      <w:r>
        <w:rPr>
          <w:rStyle w:val="CharStyle17"/>
          <w:lang w:val="en-US" w:eastAsia="en-US"/>
        </w:rPr>
        <w:t>145C086673CDEA632A000A3F830A5E05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rStyle w:val="CharStyle17"/>
        </w:rPr>
        <w:t xml:space="preserve">Действителен с 24.02.2025 </w:t>
      </w:r>
      <w:r>
        <w:rPr>
          <w:rStyle w:val="CharStyle17"/>
          <w:color w:val="5C5C5C"/>
        </w:rPr>
        <w:t xml:space="preserve">по </w:t>
      </w:r>
      <w:r>
        <w:rPr>
          <w:rStyle w:val="CharStyle17"/>
        </w:rPr>
        <w:t>20.05.2026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rPr>
          <w:rStyle w:val="CharStyle9"/>
        </w:rPr>
        <w:t>И.Н. Черевко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</w:rPr>
        <w:t>Черевко Ирина Николаевна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Сертификат </w:t>
      </w:r>
      <w:r>
        <w:rPr>
          <w:rStyle w:val="CharStyle17"/>
          <w:color w:val="292929"/>
        </w:rPr>
        <w:t xml:space="preserve">№ </w:t>
      </w:r>
      <w:r>
        <w:rPr>
          <w:rStyle w:val="CharStyle17"/>
          <w:lang w:val="en-US" w:eastAsia="en-US"/>
        </w:rPr>
        <w:t>4F484CE900A9074E159183D49C3FA378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right="0" w:firstLine="0"/>
        <w:jc w:val="left"/>
      </w:pPr>
      <w:r>
        <w:rPr>
          <w:rStyle w:val="CharStyle17"/>
        </w:rPr>
        <w:t xml:space="preserve">Действителен с </w:t>
      </w:r>
      <w:r>
        <w:rPr>
          <w:rStyle w:val="CharStyle17"/>
          <w:color w:val="292929"/>
        </w:rPr>
        <w:t>07.11</w:t>
      </w:r>
      <w:r>
        <w:rPr>
          <w:rStyle w:val="CharStyle17"/>
          <w:color w:val="5C5C5C"/>
        </w:rPr>
        <w:t>.2025 по 31</w:t>
      </w:r>
      <w:r>
        <w:rPr>
          <w:rStyle w:val="CharStyle17"/>
          <w:color w:val="292929"/>
        </w:rPr>
        <w:t>.01</w:t>
      </w:r>
      <w:r>
        <w:rPr>
          <w:rStyle w:val="CharStyle17"/>
        </w:rPr>
        <w:t>.2027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rStyle w:val="CharStyle22"/>
        </w:rPr>
        <w:t>Исп.Андреева Н.А. тел.(4212) 31-11-91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10003155</wp:posOffset>
              </wp:positionV>
              <wp:extent cx="6480175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017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20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2026-5397</w:t>
                            <w:tab/>
                          </w: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75pt;margin-top:787.64999999999998pt;width:510.25pt;height:8.4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20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2026-5397</w:t>
                      <w:tab/>
                    </w: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9854565</wp:posOffset>
              </wp:positionV>
              <wp:extent cx="661670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  <w:lang w:val="ru-RU" w:eastAsia="ru-RU"/>
                            </w:rPr>
                            <w:t>2026-5397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75pt;margin-top:775.95000000000005pt;width:52.100000000000001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  <w:lang w:val="ru-RU" w:eastAsia="ru-RU"/>
                      </w:rPr>
                      <w:t>2026-5397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7"/>
      <w:szCs w:val="17"/>
      <w:u w:val="none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7">
    <w:name w:val="Body text (2)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2">
    <w:name w:val="Body text (4)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5">
    <w:name w:val="Heading #1_"/>
    <w:basedOn w:val="DefaultParagraphFont"/>
    <w:link w:val="Style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7">
    <w:name w:val="Other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0">
    <w:name w:val="Body text (5)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60" w:line="288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7"/>
      <w:szCs w:val="17"/>
      <w:u w:val="none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styleId="Style8">
    <w:name w:val="Body text"/>
    <w:basedOn w:val="Normal"/>
    <w:link w:val="CharStyle9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6">
    <w:name w:val="Body text (2)"/>
    <w:basedOn w:val="Normal"/>
    <w:link w:val="CharStyle17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1">
    <w:name w:val="Body text (4)"/>
    <w:basedOn w:val="Normal"/>
    <w:link w:val="CharStyle22"/>
    <w:pPr>
      <w:widowControl w:val="0"/>
      <w:shd w:val="clear" w:color="auto" w:fill="auto"/>
      <w:spacing w:after="2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4">
    <w:name w:val="Heading #1"/>
    <w:basedOn w:val="Normal"/>
    <w:link w:val="CharStyle25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6">
    <w:name w:val="Other"/>
    <w:basedOn w:val="Normal"/>
    <w:link w:val="CharStyle2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9">
    <w:name w:val="Body text (5)"/>
    <w:basedOn w:val="Normal"/>
    <w:link w:val="CharStyle30"/>
    <w:pPr>
      <w:widowControl w:val="0"/>
      <w:shd w:val="clear" w:color="auto" w:fill="auto"/>
      <w:spacing w:after="3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