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4864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48640"/>
                    </a:xfrm>
                    <a:prstGeom prst="rect"/>
                  </pic:spPr>
                </pic:pic>
              </a:graphicData>
            </a:graphic>
          </wp:anchor>
        </w:drawing>
      </w:r>
    </w:p>
    <w:p>
      <w:pPr>
        <w:widowControl w:val="0"/>
        <w:spacing w:after="498"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41" w:bottom="932" w:left="110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rStyle w:val="CharStyle6"/>
        </w:rPr>
        <w:t>ФЕДЕРАЛЬНАЯ</w:t>
      </w:r>
    </w:p>
    <w:p>
      <w:pPr>
        <w:pStyle w:val="Style5"/>
        <w:keepNext w:val="0"/>
        <w:keepLines w:val="0"/>
        <w:widowControl w:val="0"/>
        <w:shd w:val="clear" w:color="auto" w:fill="auto"/>
        <w:bidi w:val="0"/>
        <w:spacing w:before="0" w:after="180" w:line="240" w:lineRule="auto"/>
        <w:ind w:left="0" w:right="0" w:firstLine="0"/>
        <w:jc w:val="center"/>
      </w:pPr>
      <w:r>
        <w:rPr>
          <w:rStyle w:val="CharStyle6"/>
        </w:rP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rStyle w:val="CharStyle6"/>
        </w:rPr>
        <w:t>УПРАВЛЕНИЕ</w:t>
        <w:b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3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line="230" w:lineRule="auto"/>
        <w:ind w:left="0" w:right="0" w:firstLine="0"/>
        <w:jc w:val="center"/>
      </w:pPr>
      <w:r>
        <w:rPr>
          <w:rStyle w:val="CharStyle6"/>
        </w:rPr>
        <w:t>г. Нижний Новгород, 603000</w:t>
        <w:br/>
        <w:t>тел. (831) 431-73-73, (831) 431-73-83</w:t>
        <w:br/>
      </w:r>
      <w:r>
        <w:rPr>
          <w:rStyle w:val="CharStyle6"/>
          <w:u w:val="single"/>
          <w:lang w:val="en-US" w:eastAsia="en-US"/>
        </w:rPr>
        <w:t xml:space="preserve">e-mail: to52@,fas, </w:t>
      </w:r>
      <w:r>
        <w:rPr>
          <w:rStyle w:val="CharStyle6"/>
          <w:u w:val="single"/>
          <w:lang w:val="en-US" w:eastAsia="en-US"/>
        </w:rPr>
        <w:t>gov.ru</w:t>
      </w:r>
    </w:p>
    <w:p>
      <w:pPr>
        <w:pStyle w:val="Style8"/>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9"/>
          <w:u w:val="none"/>
        </w:rPr>
        <w:t>1</w:t>
      </w:r>
      <w:r>
        <w:fldChar w:fldCharType="begin"/>
      </w:r>
      <w:r>
        <w:rPr/>
        <w:instrText> HYPERLINK "file://f207ca94-a13c-4ba0-b72d-f018c9eed8f1/" </w:instrText>
      </w:r>
      <w:r>
        <w:fldChar w:fldCharType="separate"/>
      </w:r>
      <w:r>
        <w:rPr>
          <w:rStyle w:val="CharStyle9"/>
          <w:u w:val="none"/>
        </w:rPr>
        <w:t>8.0</w:t>
      </w:r>
      <w:r>
        <w:rPr>
          <w:rStyle w:val="CharStyle9"/>
        </w:rPr>
        <w:t>5.2026</w:t>
      </w:r>
      <w:r>
        <w:rPr>
          <w:rStyle w:val="CharStyle9"/>
          <w:u w:val="none"/>
        </w:rPr>
        <w:tab/>
      </w:r>
      <w:r>
        <w:fldChar w:fldCharType="end"/>
      </w:r>
      <w:r>
        <w:rPr>
          <w:rStyle w:val="CharStyle9"/>
          <w:u w:val="none"/>
        </w:rPr>
        <w:t xml:space="preserve">№ </w:t>
      </w:r>
      <w:r>
        <w:rPr>
          <w:rStyle w:val="CharStyle9"/>
        </w:rPr>
        <w:t>ИК/9992/2</w:t>
      </w:r>
      <w:r>
        <w:rPr>
          <w:rStyle w:val="CharStyle9"/>
          <w:u w:val="none"/>
        </w:rPr>
        <w:t>6</w:t>
      </w:r>
      <w:bookmarkEnd w:id="0"/>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  от</w:t>
      </w:r>
    </w:p>
    <w:p>
      <w:pPr>
        <w:pStyle w:val="Style11"/>
        <w:keepNext w:val="0"/>
        <w:keepLines w:val="0"/>
        <w:widowControl w:val="0"/>
        <w:shd w:val="clear" w:color="auto" w:fill="auto"/>
        <w:bidi w:val="0"/>
        <w:spacing w:before="0" w:after="0" w:line="240" w:lineRule="auto"/>
        <w:ind w:left="0" w:right="0" w:firstLine="0"/>
        <w:jc w:val="left"/>
      </w:pPr>
      <w:r>
        <w:rPr>
          <w:rStyle w:val="CharStyle12"/>
          <w:color w:val="000000"/>
        </w:rPr>
        <w:t>ГП "НОФ"</w:t>
      </w:r>
    </w:p>
    <w:p>
      <w:pPr>
        <w:pStyle w:val="Style11"/>
        <w:keepNext w:val="0"/>
        <w:keepLines w:val="0"/>
        <w:widowControl w:val="0"/>
        <w:shd w:val="clear" w:color="auto" w:fill="auto"/>
        <w:bidi w:val="0"/>
        <w:spacing w:before="0" w:after="0" w:line="240" w:lineRule="auto"/>
        <w:ind w:left="0" w:right="0" w:firstLine="0"/>
        <w:jc w:val="left"/>
      </w:pPr>
      <w:r>
        <w:rPr>
          <w:rStyle w:val="CharStyle12"/>
          <w:color w:val="000000"/>
        </w:rPr>
        <w:t>603001 г.Нижний Новгород, ул.Почаинская д.14А</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"mailto:nof@gpnof.ru" </w:instrText>
      </w:r>
      <w:r>
        <w:fldChar w:fldCharType="separate"/>
      </w:r>
      <w:r>
        <w:rPr>
          <w:rStyle w:val="CharStyle12"/>
          <w:color w:val="000000"/>
          <w:lang w:val="en-US" w:eastAsia="en-US"/>
        </w:rPr>
        <w:t>nof@gpnof.ru</w:t>
      </w:r>
      <w:r>
        <w:fldChar w:fldCharType="end"/>
      </w:r>
      <w:r>
        <w:rPr>
          <w:rStyle w:val="CharStyle12"/>
          <w:color w:val="000000"/>
          <w:lang w:val="en-US" w:eastAsia="en-US"/>
        </w:rPr>
        <w:t xml:space="preserve"> </w:t>
      </w:r>
      <w:r>
        <w:fldChar w:fldCharType="begin"/>
      </w:r>
      <w:r>
        <w:rPr/>
        <w:instrText> HYPERLINK "mailto:kondratev@gpnof.ru" </w:instrText>
      </w:r>
      <w:r>
        <w:fldChar w:fldCharType="separate"/>
      </w:r>
      <w:r>
        <w:rPr>
          <w:rStyle w:val="CharStyle12"/>
          <w:color w:val="000000"/>
          <w:lang w:val="en-US" w:eastAsia="en-US"/>
        </w:rPr>
        <w:t>kondratev@gpnof.ru</w:t>
      </w:r>
      <w:r>
        <w:fldChar w:fldCharType="end"/>
      </w:r>
    </w:p>
    <w:p>
      <w:pPr>
        <w:pStyle w:val="Style11"/>
        <w:keepNext w:val="0"/>
        <w:keepLines w:val="0"/>
        <w:widowControl w:val="0"/>
        <w:shd w:val="clear" w:color="auto" w:fill="auto"/>
        <w:bidi w:val="0"/>
        <w:spacing w:before="0" w:after="0" w:line="240" w:lineRule="auto"/>
        <w:ind w:left="0" w:right="0" w:firstLine="0"/>
        <w:jc w:val="left"/>
      </w:pPr>
      <w:r>
        <w:rPr>
          <w:rStyle w:val="CharStyle12"/>
          <w:color w:val="000000"/>
        </w:rPr>
        <w:t>ЭТП Газпромбанк</w:t>
      </w:r>
    </w:p>
    <w:p>
      <w:pPr>
        <w:pStyle w:val="Style11"/>
        <w:keepNext w:val="0"/>
        <w:keepLines w:val="0"/>
        <w:widowControl w:val="0"/>
        <w:shd w:val="clear" w:color="auto" w:fill="auto"/>
        <w:bidi w:val="0"/>
        <w:spacing w:before="0" w:after="0" w:line="240" w:lineRule="auto"/>
        <w:ind w:left="0" w:right="0" w:firstLine="0"/>
        <w:jc w:val="left"/>
      </w:pPr>
      <w:r>
        <w:rPr>
          <w:rStyle w:val="CharStyle12"/>
          <w:color w:val="000000"/>
        </w:rPr>
        <w:t xml:space="preserve">117342, город Москва, Миклухо-Маклая улица, дом 40, подвал помещение </w:t>
      </w:r>
      <w:r>
        <w:rPr>
          <w:rStyle w:val="CharStyle12"/>
          <w:color w:val="000000"/>
          <w:lang w:val="en-US" w:eastAsia="en-US"/>
        </w:rPr>
        <w:t xml:space="preserve">I </w:t>
      </w:r>
      <w:r>
        <w:rPr>
          <w:rStyle w:val="CharStyle12"/>
          <w:color w:val="000000"/>
        </w:rPr>
        <w:t>ком 25</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"mailto:info@etpgpb.ru" </w:instrText>
      </w:r>
      <w:r>
        <w:fldChar w:fldCharType="separate"/>
      </w:r>
      <w:r>
        <w:rPr>
          <w:rStyle w:val="CharStyle12"/>
          <w:color w:val="000000"/>
          <w:lang w:val="en-US" w:eastAsia="en-US"/>
        </w:rPr>
        <w:t>info@etpgpb.ru</w:t>
      </w:r>
      <w:r>
        <w:fldChar w:fldCharType="end"/>
      </w:r>
      <w:r>
        <w:rPr>
          <w:rStyle w:val="CharStyle12"/>
          <w:color w:val="000000"/>
          <w:lang w:val="en-US" w:eastAsia="en-US"/>
        </w:rPr>
        <w:t xml:space="preserve">, </w:t>
      </w:r>
      <w:r>
        <w:fldChar w:fldCharType="begin"/>
      </w:r>
      <w:r>
        <w:rPr/>
        <w:instrText> HYPERLINK "mailto:marketing@etpgpb.ru" </w:instrText>
      </w:r>
      <w:r>
        <w:fldChar w:fldCharType="separate"/>
      </w:r>
      <w:r>
        <w:rPr>
          <w:rStyle w:val="CharStyle12"/>
          <w:color w:val="000000"/>
          <w:lang w:val="en-US" w:eastAsia="en-US"/>
        </w:rPr>
        <w:t>marketing@etpgpb.ru</w:t>
      </w:r>
      <w:r>
        <w:fldChar w:fldCharType="end"/>
      </w:r>
    </w:p>
    <w:p>
      <w:pPr>
        <w:pStyle w:val="Style11"/>
        <w:keepNext w:val="0"/>
        <w:keepLines w:val="0"/>
        <w:widowControl w:val="0"/>
        <w:shd w:val="clear" w:color="auto" w:fill="auto"/>
        <w:bidi w:val="0"/>
        <w:spacing w:before="0" w:after="0" w:line="240" w:lineRule="auto"/>
        <w:ind w:left="0" w:right="0" w:firstLine="0"/>
        <w:jc w:val="left"/>
      </w:pPr>
      <w:r>
        <w:rPr>
          <w:rStyle w:val="CharStyle12"/>
          <w:color w:val="000000"/>
        </w:rPr>
        <w:t>ИП Кравченко Алексей Викторович</w:t>
      </w:r>
    </w:p>
    <w:p>
      <w:pPr>
        <w:pStyle w:val="Style11"/>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627" w:bottom="1365" w:left="1135" w:header="0" w:footer="3" w:gutter="0"/>
          <w:cols w:num="2" w:space="720" w:equalWidth="0">
            <w:col w:w="4219" w:space="1051"/>
            <w:col w:w="4867"/>
          </w:cols>
          <w:noEndnote/>
          <w:rtlGutter w:val="0"/>
          <w:docGrid w:linePitch="360"/>
        </w:sectPr>
      </w:pPr>
      <w:r>
        <w:fldChar w:fldCharType="begin"/>
      </w:r>
      <w:r>
        <w:rPr/>
        <w:instrText> HYPERLINK "mailto:info@gosfarm.ru" </w:instrText>
      </w:r>
      <w:r>
        <w:fldChar w:fldCharType="separate"/>
      </w:r>
      <w:r>
        <w:rPr>
          <w:rStyle w:val="CharStyle12"/>
          <w:color w:val="000000"/>
          <w:lang w:val="en-US" w:eastAsia="en-US"/>
        </w:rPr>
        <w:t>info@gosfarm.ru</w:t>
      </w:r>
      <w:r>
        <w:fldChar w:fldCharType="end"/>
      </w:r>
    </w:p>
    <w:p>
      <w:pPr>
        <w:widowControl w:val="0"/>
        <w:spacing w:line="118" w:lineRule="exact"/>
        <w:rPr>
          <w:sz w:val="9"/>
          <w:szCs w:val="9"/>
        </w:rPr>
      </w:pPr>
    </w:p>
    <w:p>
      <w:pPr>
        <w:widowControl w:val="0"/>
        <w:spacing w:line="1" w:lineRule="exact"/>
        <w:sectPr>
          <w:footnotePr>
            <w:pos w:val="pageBottom"/>
            <w:numFmt w:val="decimal"/>
            <w:numRestart w:val="continuous"/>
          </w:footnotePr>
          <w:type w:val="continuous"/>
          <w:pgSz w:w="11900" w:h="16840"/>
          <w:pgMar w:top="1442" w:right="0" w:bottom="1285" w:left="0" w:header="0" w:footer="3" w:gutter="0"/>
          <w:cols w:space="720"/>
          <w:noEndnote/>
          <w:rtlGutter w:val="0"/>
          <w:docGrid w:linePitch="360"/>
        </w:sectPr>
      </w:pPr>
    </w:p>
    <w:p>
      <w:pPr>
        <w:pStyle w:val="Style11"/>
        <w:keepNext w:val="0"/>
        <w:keepLines w:val="0"/>
        <w:widowControl w:val="0"/>
        <w:shd w:val="clear" w:color="auto" w:fill="auto"/>
        <w:bidi w:val="0"/>
        <w:spacing w:before="0" w:after="280" w:line="240" w:lineRule="auto"/>
        <w:ind w:left="0" w:right="0" w:firstLine="0"/>
        <w:jc w:val="center"/>
      </w:pPr>
      <w:r>
        <w:rPr>
          <w:rStyle w:val="CharStyle12"/>
          <w:b/>
          <w:bCs/>
          <w:color w:val="000000"/>
        </w:rPr>
        <w:t>РЕШЕНИЕ №052/06/105-1182/2026</w:t>
        <w:br/>
        <w:t>по результатам рассмотрения жалобы</w:t>
      </w:r>
    </w:p>
    <w:p>
      <w:pPr>
        <w:pStyle w:val="Style11"/>
        <w:keepNext w:val="0"/>
        <w:keepLines w:val="0"/>
        <w:widowControl w:val="0"/>
        <w:shd w:val="clear" w:color="auto" w:fill="auto"/>
        <w:tabs>
          <w:tab w:pos="7229" w:val="left"/>
        </w:tabs>
        <w:bidi w:val="0"/>
        <w:spacing w:before="0" w:after="280" w:line="240" w:lineRule="auto"/>
        <w:ind w:left="0" w:right="0" w:firstLine="0"/>
        <w:jc w:val="both"/>
      </w:pPr>
      <w:r>
        <w:rPr>
          <w:rStyle w:val="CharStyle12"/>
          <w:color w:val="000000"/>
        </w:rPr>
        <w:t>13 мая 2026 года</w:t>
        <w:tab/>
        <w:t>город Нижний Новгород</w:t>
      </w:r>
    </w:p>
    <w:p>
      <w:pPr>
        <w:pStyle w:val="Style11"/>
        <w:keepNext w:val="0"/>
        <w:keepLines w:val="0"/>
        <w:widowControl w:val="0"/>
        <w:shd w:val="clear" w:color="auto" w:fill="auto"/>
        <w:bidi w:val="0"/>
        <w:spacing w:before="0" w:after="0" w:line="240" w:lineRule="auto"/>
        <w:ind w:left="0" w:right="0" w:firstLine="580"/>
        <w:jc w:val="both"/>
      </w:pPr>
      <w:r>
        <w:rPr>
          <w:rStyle w:val="CharStyle12"/>
          <w:color w:val="000000"/>
        </w:rPr>
        <w:t>Комиссия Управления Федеральной антимонопольной службы по Нижегородской области по контролю в сфере закупок в составе:</w:t>
      </w:r>
    </w:p>
    <w:p>
      <w:pPr>
        <w:pStyle w:val="Style11"/>
        <w:keepNext w:val="0"/>
        <w:keepLines w:val="0"/>
        <w:widowControl w:val="0"/>
        <w:numPr>
          <w:ilvl w:val="0"/>
          <w:numId w:val="1"/>
        </w:numPr>
        <w:shd w:val="clear" w:color="auto" w:fill="auto"/>
        <w:tabs>
          <w:tab w:pos="296" w:val="left"/>
        </w:tabs>
        <w:bidi w:val="0"/>
        <w:spacing w:before="0" w:after="0" w:line="240" w:lineRule="auto"/>
        <w:ind w:left="0" w:right="0" w:firstLine="0"/>
        <w:jc w:val="left"/>
      </w:pPr>
      <w:r>
        <w:rPr>
          <w:rStyle w:val="CharStyle12"/>
          <w:color w:val="000000"/>
        </w:rPr>
        <w:t>Канаевой И.С. -председателя комиссии, заместителя руководителя управления,</w:t>
      </w:r>
    </w:p>
    <w:p>
      <w:pPr>
        <w:pStyle w:val="Style11"/>
        <w:keepNext w:val="0"/>
        <w:keepLines w:val="0"/>
        <w:widowControl w:val="0"/>
        <w:numPr>
          <w:ilvl w:val="0"/>
          <w:numId w:val="1"/>
        </w:numPr>
        <w:shd w:val="clear" w:color="auto" w:fill="auto"/>
        <w:tabs>
          <w:tab w:pos="296" w:val="left"/>
        </w:tabs>
        <w:bidi w:val="0"/>
        <w:spacing w:before="0" w:after="0" w:line="240" w:lineRule="auto"/>
        <w:ind w:left="0" w:right="0" w:firstLine="0"/>
        <w:jc w:val="left"/>
      </w:pPr>
      <w:r>
        <w:rPr>
          <w:rStyle w:val="CharStyle12"/>
          <w:color w:val="000000"/>
        </w:rPr>
        <w:t>Королевой И.А. -члена комиссии, начальника отдела контроля торгов,</w:t>
      </w:r>
    </w:p>
    <w:p>
      <w:pPr>
        <w:pStyle w:val="Style11"/>
        <w:keepNext w:val="0"/>
        <w:keepLines w:val="0"/>
        <w:widowControl w:val="0"/>
        <w:numPr>
          <w:ilvl w:val="0"/>
          <w:numId w:val="1"/>
        </w:numPr>
        <w:shd w:val="clear" w:color="auto" w:fill="auto"/>
        <w:tabs>
          <w:tab w:pos="296" w:val="left"/>
        </w:tabs>
        <w:bidi w:val="0"/>
        <w:spacing w:before="0" w:after="0" w:line="240" w:lineRule="auto"/>
        <w:ind w:left="0" w:right="0" w:firstLine="0"/>
        <w:jc w:val="left"/>
      </w:pPr>
      <w:r>
        <w:rPr>
          <w:rStyle w:val="CharStyle12"/>
          <w:color w:val="000000"/>
        </w:rPr>
        <w:t>Железова Е.С. -члена комиссии, специалиста-эксперта отдела контроля торгов, при участии посредством видео-конференц-связи:</w:t>
      </w:r>
    </w:p>
    <w:p>
      <w:pPr>
        <w:pStyle w:val="Style11"/>
        <w:keepNext w:val="0"/>
        <w:keepLines w:val="0"/>
        <w:widowControl w:val="0"/>
        <w:numPr>
          <w:ilvl w:val="0"/>
          <w:numId w:val="1"/>
        </w:numPr>
        <w:shd w:val="clear" w:color="auto" w:fill="auto"/>
        <w:tabs>
          <w:tab w:pos="296" w:val="left"/>
        </w:tabs>
        <w:bidi w:val="0"/>
        <w:spacing w:before="0" w:after="0" w:line="240" w:lineRule="auto"/>
        <w:ind w:left="2400" w:right="0" w:hanging="2400"/>
        <w:jc w:val="both"/>
      </w:pPr>
      <w:r>
        <w:rPr>
          <w:rStyle w:val="CharStyle12"/>
          <w:color w:val="000000"/>
        </w:rPr>
        <w:t>Кондратьева О.А.-представителя ГП НО «НОФ» (доверенность № 31/12/2 от 31.12.2025),</w:t>
      </w:r>
    </w:p>
    <w:p>
      <w:pPr>
        <w:pStyle w:val="Style11"/>
        <w:keepNext w:val="0"/>
        <w:keepLines w:val="0"/>
        <w:widowControl w:val="0"/>
        <w:shd w:val="clear" w:color="auto" w:fill="auto"/>
        <w:bidi w:val="0"/>
        <w:spacing w:before="0" w:after="280" w:line="240" w:lineRule="auto"/>
        <w:ind w:left="0" w:right="0" w:firstLine="580"/>
        <w:jc w:val="both"/>
      </w:pPr>
      <w:r>
        <w:rPr>
          <w:rStyle w:val="CharStyle12"/>
          <w:color w:val="000000"/>
        </w:rPr>
        <w:t>рассмотрев жалобу ИП Кравченко Алексея Викторовича (далее - Заявитель) на действия ГП НО «НОФ» (далее - Заказчик) при проведении запроса котировок в электронной форме по объекту закупки: Ц-5802_Закупка медицинских изделий, номер извещения 0432200000826001919 (далее - Закупка),</w:t>
      </w:r>
    </w:p>
    <w:p>
      <w:pPr>
        <w:pStyle w:val="Style11"/>
        <w:keepNext w:val="0"/>
        <w:keepLines w:val="0"/>
        <w:widowControl w:val="0"/>
        <w:shd w:val="clear" w:color="auto" w:fill="auto"/>
        <w:bidi w:val="0"/>
        <w:spacing w:before="0" w:after="0" w:line="240" w:lineRule="auto"/>
        <w:ind w:left="0" w:right="0" w:firstLine="0"/>
        <w:jc w:val="center"/>
      </w:pPr>
      <w:r>
        <w:rPr>
          <w:rStyle w:val="CharStyle12"/>
          <w:color w:val="000000"/>
        </w:rPr>
        <w:t>установила:</w:t>
      </w:r>
    </w:p>
    <w:p>
      <w:pPr>
        <w:pStyle w:val="Style11"/>
        <w:keepNext w:val="0"/>
        <w:keepLines w:val="0"/>
        <w:widowControl w:val="0"/>
        <w:shd w:val="clear" w:color="auto" w:fill="auto"/>
        <w:bidi w:val="0"/>
        <w:spacing w:before="0" w:after="0" w:line="240" w:lineRule="auto"/>
        <w:ind w:left="0" w:right="0" w:firstLine="580"/>
        <w:jc w:val="both"/>
      </w:pPr>
      <w:r>
        <w:rPr>
          <w:rStyle w:val="CharStyle12"/>
          <w:color w:val="000000"/>
        </w:rPr>
        <w:t>в Управление Федеральной антимонопольной службы по Нижегородской области (далее также - Нижегородское УФАС России, Управление) поступила жалоба Заявителя на действия Заказчика при проведении Закупки.</w:t>
      </w:r>
    </w:p>
    <w:p>
      <w:pPr>
        <w:pStyle w:val="Style11"/>
        <w:keepNext w:val="0"/>
        <w:keepLines w:val="0"/>
        <w:widowControl w:val="0"/>
        <w:shd w:val="clear" w:color="auto" w:fill="auto"/>
        <w:bidi w:val="0"/>
        <w:spacing w:before="0" w:after="0" w:line="240" w:lineRule="auto"/>
        <w:ind w:left="0" w:right="0" w:firstLine="700"/>
        <w:jc w:val="both"/>
      </w:pPr>
      <w:r>
        <w:rPr>
          <w:rStyle w:val="CharStyle12"/>
          <w:color w:val="000000"/>
        </w:rPr>
        <w:t>По мнению Заявителя, действия Заказчика не соответствуют требованиям положений Федерального закона от 05.04.2013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11"/>
        <w:keepNext w:val="0"/>
        <w:keepLines w:val="0"/>
        <w:widowControl w:val="0"/>
        <w:shd w:val="clear" w:color="auto" w:fill="auto"/>
        <w:bidi w:val="0"/>
        <w:spacing w:before="0" w:after="280" w:line="240" w:lineRule="auto"/>
        <w:ind w:left="0" w:right="0" w:firstLine="580"/>
        <w:jc w:val="both"/>
      </w:pPr>
      <w:r>
        <w:rPr>
          <w:rStyle w:val="CharStyle12"/>
          <w:color w:val="000000"/>
        </w:rPr>
        <w:t>Полный текст жалобы с приложенными к ней документами приобщен к</w:t>
      </w:r>
    </w:p>
    <w:p>
      <w:pPr>
        <w:widowControl w:val="0"/>
        <w:spacing w:line="1" w:lineRule="exact"/>
      </w:pPr>
      <w:r>
        <w:drawing>
          <wp:anchor distT="12700" distB="0" distL="0" distR="0" simplePos="0" relativeHeight="125829378" behindDoc="0" locked="0" layoutInCell="1" allowOverlap="1">
            <wp:simplePos x="0" y="0"/>
            <wp:positionH relativeFrom="page">
              <wp:posOffset>699135</wp:posOffset>
            </wp:positionH>
            <wp:positionV relativeFrom="paragraph">
              <wp:posOffset>12700</wp:posOffset>
            </wp:positionV>
            <wp:extent cx="1334770" cy="45085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1334770" cy="450850"/>
                    </a:xfrm>
                    <a:prstGeom prst="rect"/>
                  </pic:spPr>
                </pic:pic>
              </a:graphicData>
            </a:graphic>
          </wp:anchor>
        </w:drawing>
      </w:r>
    </w:p>
    <w:p>
      <w:pPr>
        <w:pStyle w:val="Style11"/>
        <w:keepNext w:val="0"/>
        <w:keepLines w:val="0"/>
        <w:widowControl w:val="0"/>
        <w:shd w:val="clear" w:color="auto" w:fill="auto"/>
        <w:bidi w:val="0"/>
        <w:spacing w:before="0" w:after="0" w:line="240" w:lineRule="auto"/>
        <w:ind w:left="0" w:right="0" w:firstLine="0"/>
        <w:jc w:val="both"/>
      </w:pPr>
      <w:r>
        <w:rPr>
          <w:rStyle w:val="CharStyle12"/>
          <w:color w:val="000000"/>
        </w:rPr>
        <w:t>материалам дела.</w:t>
      </w:r>
    </w:p>
    <w:p>
      <w:pPr>
        <w:pStyle w:val="Style11"/>
        <w:keepNext w:val="0"/>
        <w:keepLines w:val="0"/>
        <w:widowControl w:val="0"/>
        <w:shd w:val="clear" w:color="auto" w:fill="auto"/>
        <w:bidi w:val="0"/>
        <w:spacing w:before="0" w:after="0" w:line="240" w:lineRule="auto"/>
        <w:ind w:left="0" w:right="0" w:firstLine="580"/>
        <w:jc w:val="both"/>
      </w:pPr>
      <w:r>
        <w:rPr>
          <w:rStyle w:val="CharStyle12"/>
          <w:color w:val="000000"/>
        </w:rPr>
        <w:t xml:space="preserve">Нижегородское УФАС России приняло к рассмотрению жалобу Заявителя и назначило её рассмотрение на </w:t>
      </w:r>
      <w:r>
        <w:rPr>
          <w:rStyle w:val="CharStyle12"/>
          <w:color w:val="000000"/>
          <w:lang w:val="en-US" w:eastAsia="en-US"/>
        </w:rPr>
        <w:t xml:space="preserve">13.05.2026 </w:t>
      </w:r>
      <w:r>
        <w:rPr>
          <w:rStyle w:val="CharStyle12"/>
          <w:color w:val="000000"/>
        </w:rPr>
        <w:t xml:space="preserve">(уведомление о рассмотрении жалобы от </w:t>
      </w:r>
      <w:r>
        <w:rPr>
          <w:rStyle w:val="CharStyle12"/>
          <w:color w:val="000000"/>
          <w:lang w:val="en-US" w:eastAsia="en-US"/>
        </w:rPr>
        <w:t xml:space="preserve">12.05.2026 </w:t>
      </w:r>
      <w:r>
        <w:rPr>
          <w:rStyle w:val="CharStyle12"/>
          <w:color w:val="000000"/>
        </w:rPr>
        <w:t>№ИК/9496/26).</w:t>
      </w:r>
    </w:p>
    <w:p>
      <w:pPr>
        <w:pStyle w:val="Style11"/>
        <w:keepNext w:val="0"/>
        <w:keepLines w:val="0"/>
        <w:widowControl w:val="0"/>
        <w:shd w:val="clear" w:color="auto" w:fill="auto"/>
        <w:bidi w:val="0"/>
        <w:spacing w:before="0" w:after="0" w:line="240" w:lineRule="auto"/>
        <w:ind w:left="0" w:right="0" w:firstLine="580"/>
        <w:jc w:val="both"/>
      </w:pPr>
      <w:r>
        <w:rPr>
          <w:rStyle w:val="CharStyle12"/>
          <w:color w:val="000000"/>
        </w:rPr>
        <w:t>Заседания Комиссии Нижегородского УФАС России прошло в указанную дату, с участием представителя Заказчика, Заявитель явку на заседания Комиссии Нижегородского УФАС не обеспечил, о причинах неявки не сообщил, уведомлен надлежащим образом.</w:t>
      </w:r>
    </w:p>
    <w:p>
      <w:pPr>
        <w:pStyle w:val="Style11"/>
        <w:keepNext w:val="0"/>
        <w:keepLines w:val="0"/>
        <w:widowControl w:val="0"/>
        <w:shd w:val="clear" w:color="auto" w:fill="auto"/>
        <w:bidi w:val="0"/>
        <w:spacing w:before="0" w:after="0" w:line="240" w:lineRule="auto"/>
        <w:ind w:left="0" w:right="0" w:firstLine="580"/>
        <w:jc w:val="both"/>
      </w:pPr>
      <w:r>
        <w:rPr>
          <w:rStyle w:val="CharStyle12"/>
          <w:color w:val="000000"/>
        </w:rPr>
        <w:t>Заявитель обжалует действия заказчика при формировании объекта закупки.</w:t>
      </w:r>
    </w:p>
    <w:p>
      <w:pPr>
        <w:pStyle w:val="Style11"/>
        <w:keepNext w:val="0"/>
        <w:keepLines w:val="0"/>
        <w:widowControl w:val="0"/>
        <w:shd w:val="clear" w:color="auto" w:fill="auto"/>
        <w:bidi w:val="0"/>
        <w:spacing w:before="0" w:after="0" w:line="240" w:lineRule="auto"/>
        <w:ind w:left="0" w:right="0" w:firstLine="580"/>
        <w:jc w:val="both"/>
      </w:pPr>
      <w:r>
        <w:rPr>
          <w:rStyle w:val="CharStyle12"/>
          <w:color w:val="000000"/>
        </w:rPr>
        <w:t>Заказчик представил письменные возражения, а также дополнения к ним, в которых с доводами жалобы не согласился, считает их в большей части не относящимся к рассматриваемой закупке, и не подлежащими удовлетворению:</w:t>
      </w:r>
    </w:p>
    <w:p>
      <w:pPr>
        <w:pStyle w:val="Style11"/>
        <w:keepNext w:val="0"/>
        <w:keepLines w:val="0"/>
        <w:widowControl w:val="0"/>
        <w:shd w:val="clear" w:color="auto" w:fill="auto"/>
        <w:bidi w:val="0"/>
        <w:spacing w:before="0" w:after="0" w:line="240" w:lineRule="auto"/>
        <w:ind w:left="0" w:right="0" w:firstLine="580"/>
        <w:jc w:val="both"/>
      </w:pPr>
      <w:r>
        <w:rPr>
          <w:rStyle w:val="CharStyle12"/>
          <w:color w:val="000000"/>
        </w:rPr>
        <w:t>Полный текст возражений на жалобу с приложенными к ним документами приобщен к материалам дела.</w:t>
      </w:r>
    </w:p>
    <w:p>
      <w:pPr>
        <w:pStyle w:val="Style11"/>
        <w:keepNext w:val="0"/>
        <w:keepLines w:val="0"/>
        <w:widowControl w:val="0"/>
        <w:shd w:val="clear" w:color="auto" w:fill="auto"/>
        <w:bidi w:val="0"/>
        <w:spacing w:before="0" w:after="0" w:line="240" w:lineRule="auto"/>
        <w:ind w:left="0" w:right="0" w:firstLine="580"/>
        <w:jc w:val="both"/>
      </w:pPr>
      <w:r>
        <w:rPr>
          <w:rStyle w:val="CharStyle12"/>
          <w:color w:val="000000"/>
        </w:rPr>
        <w:t xml:space="preserve">Комиссия Управления Федеральной антимонопольной службы по Нижегородской области по контролю в сфере закупок, исследовав материалы дела и осуществив внеплановую проверку рассматриваемой закупки в соответствии с требованиями части </w:t>
      </w:r>
      <w:r>
        <w:rPr>
          <w:rStyle w:val="CharStyle12"/>
          <w:color w:val="000000"/>
          <w:lang w:val="en-US" w:eastAsia="en-US"/>
        </w:rPr>
        <w:t xml:space="preserve">15 </w:t>
      </w:r>
      <w:r>
        <w:rPr>
          <w:rStyle w:val="CharStyle12"/>
          <w:color w:val="000000"/>
        </w:rPr>
        <w:t xml:space="preserve">статьи </w:t>
      </w:r>
      <w:r>
        <w:rPr>
          <w:rStyle w:val="CharStyle12"/>
          <w:color w:val="000000"/>
          <w:lang w:val="en-US" w:eastAsia="en-US"/>
        </w:rPr>
        <w:t xml:space="preserve">99 </w:t>
      </w:r>
      <w:r>
        <w:rPr>
          <w:rStyle w:val="CharStyle12"/>
          <w:color w:val="000000"/>
        </w:rPr>
        <w:t>Закона о контрактной системе, пришла к следующим выводам.</w:t>
      </w:r>
    </w:p>
    <w:p>
      <w:pPr>
        <w:pStyle w:val="Style11"/>
        <w:keepNext w:val="0"/>
        <w:keepLines w:val="0"/>
        <w:widowControl w:val="0"/>
        <w:numPr>
          <w:ilvl w:val="0"/>
          <w:numId w:val="3"/>
        </w:numPr>
        <w:shd w:val="clear" w:color="auto" w:fill="auto"/>
        <w:tabs>
          <w:tab w:pos="997" w:val="left"/>
        </w:tabs>
        <w:bidi w:val="0"/>
        <w:spacing w:before="0" w:after="0" w:line="240" w:lineRule="auto"/>
        <w:ind w:left="0" w:right="0" w:firstLine="580"/>
        <w:jc w:val="both"/>
      </w:pPr>
      <w:r>
        <w:rPr>
          <w:rStyle w:val="CharStyle12"/>
          <w:color w:val="000000"/>
        </w:rPr>
        <w:t xml:space="preserve">Извещение размещено в единой информационной системе в сфере закупок (далее -ЕИС) и на сайте электронной торговой площадки ЭТП Газпромбанк </w:t>
      </w:r>
      <w:r>
        <w:rPr>
          <w:rStyle w:val="CharStyle12"/>
          <w:color w:val="000000"/>
          <w:lang w:val="en-US" w:eastAsia="en-US"/>
        </w:rPr>
        <w:t>– 28.04.2026;</w:t>
      </w:r>
    </w:p>
    <w:p>
      <w:pPr>
        <w:pStyle w:val="Style11"/>
        <w:keepNext w:val="0"/>
        <w:keepLines w:val="0"/>
        <w:widowControl w:val="0"/>
        <w:numPr>
          <w:ilvl w:val="0"/>
          <w:numId w:val="3"/>
        </w:numPr>
        <w:shd w:val="clear" w:color="auto" w:fill="auto"/>
        <w:tabs>
          <w:tab w:pos="992" w:val="left"/>
        </w:tabs>
        <w:bidi w:val="0"/>
        <w:spacing w:before="0" w:after="0" w:line="240" w:lineRule="auto"/>
        <w:ind w:left="0" w:right="0" w:firstLine="580"/>
        <w:jc w:val="both"/>
      </w:pPr>
      <w:r>
        <w:rPr>
          <w:rStyle w:val="CharStyle12"/>
          <w:color w:val="000000"/>
        </w:rPr>
        <w:t xml:space="preserve">способ определения поставщика (подрядчика, исполнителя) </w:t>
      </w:r>
      <w:r>
        <w:rPr>
          <w:rStyle w:val="CharStyle12"/>
          <w:color w:val="000000"/>
          <w:lang w:val="en-US" w:eastAsia="en-US"/>
        </w:rPr>
        <w:t xml:space="preserve">– </w:t>
      </w:r>
      <w:r>
        <w:rPr>
          <w:rStyle w:val="CharStyle12"/>
          <w:color w:val="000000"/>
        </w:rPr>
        <w:t>запрос котировок в электронной форме;</w:t>
      </w:r>
    </w:p>
    <w:p>
      <w:pPr>
        <w:pStyle w:val="Style11"/>
        <w:keepNext w:val="0"/>
        <w:keepLines w:val="0"/>
        <w:widowControl w:val="0"/>
        <w:numPr>
          <w:ilvl w:val="0"/>
          <w:numId w:val="3"/>
        </w:numPr>
        <w:shd w:val="clear" w:color="auto" w:fill="auto"/>
        <w:tabs>
          <w:tab w:pos="1487" w:val="left"/>
        </w:tabs>
        <w:bidi w:val="0"/>
        <w:spacing w:before="0" w:after="0" w:line="240" w:lineRule="auto"/>
        <w:ind w:left="0" w:right="0" w:firstLine="580"/>
        <w:jc w:val="both"/>
      </w:pPr>
      <w:r>
        <w:rPr>
          <w:rStyle w:val="CharStyle12"/>
          <w:color w:val="000000"/>
        </w:rPr>
        <w:t xml:space="preserve">начальная (максимальная) цена контракта </w:t>
      </w:r>
      <w:r>
        <w:rPr>
          <w:rStyle w:val="CharStyle12"/>
          <w:color w:val="000000"/>
          <w:lang w:val="en-US" w:eastAsia="en-US"/>
        </w:rPr>
        <w:t xml:space="preserve">– 50 000 000,00 </w:t>
      </w:r>
      <w:r>
        <w:rPr>
          <w:rStyle w:val="CharStyle12"/>
          <w:color w:val="000000"/>
        </w:rPr>
        <w:t>руб.;</w:t>
      </w:r>
    </w:p>
    <w:p>
      <w:pPr>
        <w:pStyle w:val="Style11"/>
        <w:keepNext w:val="0"/>
        <w:keepLines w:val="0"/>
        <w:widowControl w:val="0"/>
        <w:numPr>
          <w:ilvl w:val="0"/>
          <w:numId w:val="3"/>
        </w:numPr>
        <w:shd w:val="clear" w:color="auto" w:fill="auto"/>
        <w:tabs>
          <w:tab w:pos="1487" w:val="left"/>
        </w:tabs>
        <w:bidi w:val="0"/>
        <w:spacing w:before="0" w:after="0" w:line="240" w:lineRule="auto"/>
        <w:ind w:left="0" w:right="0" w:firstLine="580"/>
        <w:jc w:val="both"/>
      </w:pPr>
      <w:r>
        <w:rPr>
          <w:rStyle w:val="CharStyle12"/>
          <w:color w:val="000000"/>
        </w:rPr>
        <w:t xml:space="preserve">дата окончания срока подачи заявок на участие в Закупке </w:t>
      </w:r>
      <w:r>
        <w:rPr>
          <w:rStyle w:val="CharStyle12"/>
          <w:color w:val="000000"/>
          <w:lang w:val="en-US" w:eastAsia="en-US"/>
        </w:rPr>
        <w:t>– 06.05.2026;</w:t>
      </w:r>
    </w:p>
    <w:p>
      <w:pPr>
        <w:pStyle w:val="Style11"/>
        <w:keepNext w:val="0"/>
        <w:keepLines w:val="0"/>
        <w:widowControl w:val="0"/>
        <w:numPr>
          <w:ilvl w:val="0"/>
          <w:numId w:val="3"/>
        </w:numPr>
        <w:shd w:val="clear" w:color="auto" w:fill="auto"/>
        <w:tabs>
          <w:tab w:pos="997" w:val="left"/>
        </w:tabs>
        <w:bidi w:val="0"/>
        <w:spacing w:before="0" w:after="0" w:line="240" w:lineRule="auto"/>
        <w:ind w:left="0" w:right="0" w:firstLine="580"/>
        <w:jc w:val="both"/>
      </w:pPr>
      <w:r>
        <w:rPr>
          <w:rStyle w:val="CharStyle12"/>
          <w:color w:val="000000"/>
        </w:rPr>
        <w:t xml:space="preserve">дата подведения итогов определения поставщика (подрядчика, исполнителя) </w:t>
      </w:r>
      <w:r>
        <w:rPr>
          <w:rStyle w:val="CharStyle12"/>
          <w:color w:val="000000"/>
          <w:lang w:val="en-US" w:eastAsia="en-US"/>
        </w:rPr>
        <w:t>- 08.05.2026;</w:t>
      </w:r>
    </w:p>
    <w:p>
      <w:pPr>
        <w:pStyle w:val="Style11"/>
        <w:keepNext w:val="0"/>
        <w:keepLines w:val="0"/>
        <w:widowControl w:val="0"/>
        <w:numPr>
          <w:ilvl w:val="0"/>
          <w:numId w:val="3"/>
        </w:numPr>
        <w:shd w:val="clear" w:color="auto" w:fill="auto"/>
        <w:tabs>
          <w:tab w:pos="997" w:val="left"/>
        </w:tabs>
        <w:bidi w:val="0"/>
        <w:spacing w:before="0" w:after="0" w:line="240" w:lineRule="auto"/>
        <w:ind w:left="0" w:right="0" w:firstLine="580"/>
        <w:jc w:val="both"/>
      </w:pPr>
      <w:r>
        <w:rPr>
          <w:rStyle w:val="CharStyle12"/>
          <w:color w:val="000000"/>
        </w:rPr>
        <w:t xml:space="preserve">Согласно Протоколу подведения итогов определения поставщика (подрядчика, исполнителя) от </w:t>
      </w:r>
      <w:r>
        <w:rPr>
          <w:rStyle w:val="CharStyle12"/>
          <w:color w:val="000000"/>
          <w:lang w:val="en-US" w:eastAsia="en-US"/>
        </w:rPr>
        <w:t xml:space="preserve">08.05.2026 </w:t>
      </w:r>
      <w:r>
        <w:rPr>
          <w:rStyle w:val="CharStyle12"/>
          <w:color w:val="000000"/>
        </w:rPr>
        <w:t xml:space="preserve">№ИЗК1 комиссия Заказчика установила и приняла решение о признании электронного запроса котировок несостоявшимся. Причина признания электронного запроса котировок несостоявшимся: по окончании срока подачи заявок подана только одна заявка на участие в закупке. Заявка не соответствует требованиям. (пункт </w:t>
      </w:r>
      <w:r>
        <w:rPr>
          <w:rStyle w:val="CharStyle12"/>
          <w:color w:val="000000"/>
          <w:lang w:val="en-US" w:eastAsia="en-US"/>
        </w:rPr>
        <w:t xml:space="preserve">1 </w:t>
      </w:r>
      <w:r>
        <w:rPr>
          <w:rStyle w:val="CharStyle12"/>
          <w:color w:val="000000"/>
        </w:rPr>
        <w:t xml:space="preserve">и пункт </w:t>
      </w:r>
      <w:r>
        <w:rPr>
          <w:rStyle w:val="CharStyle12"/>
          <w:color w:val="000000"/>
          <w:lang w:val="en-US" w:eastAsia="en-US"/>
        </w:rPr>
        <w:t xml:space="preserve">4 </w:t>
      </w:r>
      <w:r>
        <w:rPr>
          <w:rStyle w:val="CharStyle12"/>
          <w:color w:val="000000"/>
        </w:rPr>
        <w:t xml:space="preserve">части </w:t>
      </w:r>
      <w:r>
        <w:rPr>
          <w:rStyle w:val="CharStyle12"/>
          <w:color w:val="000000"/>
          <w:lang w:val="en-US" w:eastAsia="en-US"/>
        </w:rPr>
        <w:t xml:space="preserve">1 </w:t>
      </w:r>
      <w:r>
        <w:rPr>
          <w:rStyle w:val="CharStyle12"/>
          <w:color w:val="000000"/>
        </w:rPr>
        <w:t xml:space="preserve">статьи </w:t>
      </w:r>
      <w:r>
        <w:rPr>
          <w:rStyle w:val="CharStyle12"/>
          <w:color w:val="000000"/>
          <w:lang w:val="en-US" w:eastAsia="en-US"/>
        </w:rPr>
        <w:t xml:space="preserve">52 </w:t>
      </w:r>
      <w:r>
        <w:rPr>
          <w:rStyle w:val="CharStyle12"/>
          <w:color w:val="000000"/>
        </w:rPr>
        <w:t>44-ФЗ).</w:t>
      </w:r>
    </w:p>
    <w:p>
      <w:pPr>
        <w:pStyle w:val="Style11"/>
        <w:keepNext w:val="0"/>
        <w:keepLines w:val="0"/>
        <w:widowControl w:val="0"/>
        <w:shd w:val="clear" w:color="auto" w:fill="auto"/>
        <w:bidi w:val="0"/>
        <w:spacing w:before="0" w:after="0" w:line="240" w:lineRule="auto"/>
        <w:ind w:left="0" w:right="0" w:firstLine="940"/>
        <w:jc w:val="both"/>
      </w:pPr>
      <w:r>
        <w:rPr>
          <w:rStyle w:val="CharStyle12"/>
          <w:color w:val="000000"/>
        </w:rPr>
        <w:t xml:space="preserve">Комиссия Управления Федеральной антимонопольной службы по Нижегородской области по контролю в сфере закупок,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2"/>
          <w:color w:val="000000"/>
          <w:lang w:val="en-US" w:eastAsia="en-US"/>
        </w:rPr>
        <w:t xml:space="preserve">15 </w:t>
      </w:r>
      <w:r>
        <w:rPr>
          <w:rStyle w:val="CharStyle12"/>
          <w:color w:val="000000"/>
        </w:rPr>
        <w:t xml:space="preserve">статьи </w:t>
      </w:r>
      <w:r>
        <w:rPr>
          <w:rStyle w:val="CharStyle12"/>
          <w:color w:val="000000"/>
          <w:lang w:val="en-US" w:eastAsia="en-US"/>
        </w:rPr>
        <w:t xml:space="preserve">99 </w:t>
      </w:r>
      <w:r>
        <w:rPr>
          <w:rStyle w:val="CharStyle12"/>
          <w:color w:val="000000"/>
        </w:rPr>
        <w:t>Закона о контрактной системе, пришла к следующим выводам.</w:t>
      </w:r>
    </w:p>
    <w:p>
      <w:pPr>
        <w:pStyle w:val="Style11"/>
        <w:keepNext w:val="0"/>
        <w:keepLines w:val="0"/>
        <w:widowControl w:val="0"/>
        <w:numPr>
          <w:ilvl w:val="0"/>
          <w:numId w:val="5"/>
        </w:numPr>
        <w:shd w:val="clear" w:color="auto" w:fill="auto"/>
        <w:tabs>
          <w:tab w:pos="992" w:val="left"/>
        </w:tabs>
        <w:bidi w:val="0"/>
        <w:spacing w:before="0" w:after="0" w:line="240" w:lineRule="auto"/>
        <w:ind w:left="0" w:right="0" w:firstLine="580"/>
        <w:jc w:val="both"/>
      </w:pPr>
      <w:r>
        <w:rPr>
          <w:rStyle w:val="CharStyle12"/>
          <w:color w:val="000000"/>
        </w:rPr>
        <w:t xml:space="preserve">По первому доводу жалобы </w:t>
      </w:r>
      <w:r>
        <w:rPr>
          <w:rStyle w:val="CharStyle12"/>
          <w:i/>
          <w:iCs/>
        </w:rPr>
        <w:t xml:space="preserve">«Установлены дополнительные характеристики не предусмотренные позициями КТРУ. Что запрещено </w:t>
      </w:r>
      <w:r>
        <w:rPr>
          <w:rStyle w:val="CharStyle12"/>
          <w:i/>
          <w:iCs/>
          <w:lang w:val="en-US" w:eastAsia="en-US"/>
        </w:rPr>
        <w:t xml:space="preserve">– </w:t>
      </w:r>
      <w:r>
        <w:rPr>
          <w:rStyle w:val="CharStyle12"/>
          <w:i/>
          <w:iCs/>
        </w:rPr>
        <w:t>запрет обозначен в ЕИС в карточке КТРУ», установлено следующее:</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части </w:t>
      </w:r>
      <w:r>
        <w:rPr>
          <w:rStyle w:val="CharStyle12"/>
          <w:lang w:val="en-US" w:eastAsia="en-US"/>
        </w:rPr>
        <w:t xml:space="preserve">2 </w:t>
      </w:r>
      <w:r>
        <w:rPr>
          <w:rStyle w:val="CharStyle12"/>
        </w:rPr>
        <w:t xml:space="preserve">статьи </w:t>
      </w:r>
      <w:r>
        <w:rPr>
          <w:rStyle w:val="CharStyle12"/>
          <w:lang w:val="en-US" w:eastAsia="en-US"/>
        </w:rPr>
        <w:t xml:space="preserve">8 </w:t>
      </w:r>
      <w:r>
        <w:rPr>
          <w:rStyle w:val="CharStyle12"/>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42 </w:t>
      </w:r>
      <w:r>
        <w:rPr>
          <w:rStyle w:val="CharStyle12"/>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2"/>
          <w:lang w:val="en-US" w:eastAsia="en-US"/>
        </w:rPr>
        <w:t xml:space="preserve">33 </w:t>
      </w:r>
      <w:r>
        <w:rPr>
          <w:rStyle w:val="CharStyle12"/>
        </w:rPr>
        <w:t>настоящего Федерального закона.</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описанию объекта закупки, изложенному в структурированном виде, а также в виде приложенного файла 1_Приложение </w:t>
      </w:r>
      <w:r>
        <w:rPr>
          <w:rStyle w:val="CharStyle12"/>
          <w:lang w:val="en-US" w:eastAsia="en-US"/>
        </w:rPr>
        <w:t xml:space="preserve">1 </w:t>
      </w:r>
      <w:r>
        <w:rPr>
          <w:rStyle w:val="CharStyle12"/>
        </w:rPr>
        <w:t>(Описание объекта закупки)_Ц-5802 Заказчиком установлены следующие характеристики:</w:t>
      </w:r>
    </w:p>
    <w:p>
      <w:pPr>
        <w:pStyle w:val="Style19"/>
        <w:keepNext w:val="0"/>
        <w:keepLines w:val="0"/>
        <w:widowControl w:val="0"/>
        <w:shd w:val="clear" w:color="auto" w:fill="auto"/>
        <w:bidi w:val="0"/>
        <w:spacing w:before="0" w:after="0" w:line="240" w:lineRule="auto"/>
        <w:ind w:left="0" w:right="0" w:firstLine="0"/>
        <w:jc w:val="center"/>
      </w:pPr>
      <w:r>
        <w:rPr>
          <w:rStyle w:val="CharStyle20"/>
        </w:rPr>
        <w:t xml:space="preserve">Таблица </w:t>
      </w:r>
      <w:r>
        <w:rPr>
          <w:rStyle w:val="CharStyle20"/>
          <w:lang w:val="en-US" w:eastAsia="en-US"/>
        </w:rPr>
        <w:t>1</w:t>
      </w:r>
    </w:p>
    <w:tbl>
      <w:tblPr>
        <w:tblOverlap w:val="never"/>
        <w:jc w:val="center"/>
        <w:tblLayout w:type="fixed"/>
      </w:tblPr>
      <w:tblGrid>
        <w:gridCol w:w="1608"/>
        <w:gridCol w:w="2266"/>
        <w:gridCol w:w="6562"/>
      </w:tblGrid>
      <w:tr>
        <w:trPr>
          <w:trHeight w:val="696"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КТРУ Наименование товара</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Дополнительные характеристики:*</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b/>
                <w:bCs/>
              </w:rPr>
              <w:t>Обоснование характеристик не включенных в КТРУ</w:t>
            </w:r>
          </w:p>
        </w:tc>
      </w:tr>
      <w:tr>
        <w:trPr>
          <w:trHeight w:val="461" w:hRule="exact"/>
        </w:trPr>
        <w:tc>
          <w:tcPr>
            <w:vMerge w:val="restart"/>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26.60.14.110</w:t>
              <w:softHyphen/>
              <w:t xml:space="preserve">00005 </w:t>
            </w:r>
            <w:r>
              <w:rPr>
                <w:rStyle w:val="CharStyle22"/>
              </w:rPr>
              <w:t xml:space="preserve">(ОКПД2 </w:t>
            </w:r>
            <w:r>
              <w:rPr>
                <w:rStyle w:val="CharStyle22"/>
                <w:lang w:val="en-US" w:eastAsia="en-US"/>
              </w:rPr>
              <w:t xml:space="preserve">26.60.14.110, </w:t>
            </w:r>
            <w:r>
              <w:rPr>
                <w:rStyle w:val="CharStyle22"/>
              </w:rPr>
              <w:t xml:space="preserve">НКМИ </w:t>
            </w:r>
            <w:r>
              <w:rPr>
                <w:rStyle w:val="CharStyle22"/>
                <w:lang w:val="en-US" w:eastAsia="en-US"/>
              </w:rPr>
              <w:t xml:space="preserve">210180) </w:t>
            </w:r>
            <w:r>
              <w:rPr>
                <w:rStyle w:val="CharStyle22"/>
              </w:rPr>
              <w:t>Электрокардиост имулятор имплантируемый однокамерный, частотно</w:t>
              <w:softHyphen/>
              <w:t>адаптивный*</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Поиск собственной активности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максимально сохранить собственный сердечный ритм в сложных клинических случаях.</w:t>
            </w:r>
          </w:p>
        </w:tc>
      </w:tr>
      <w:tr>
        <w:trPr>
          <w:trHeight w:val="46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Тренд адаптации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обнаруживать и выявлять ранее не диагностированные нарушения ритма пациента.</w:t>
            </w:r>
          </w:p>
        </w:tc>
      </w:tr>
      <w:tr>
        <w:trPr>
          <w:trHeight w:val="69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rPr>
              <w:t>Суточные данные о максимальной нагрузке и частоте</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обнаруживать и выявлять ранее не диагностированные нарушения ритма пациента.</w:t>
            </w:r>
          </w:p>
        </w:tc>
      </w:tr>
      <w:tr>
        <w:trPr>
          <w:trHeight w:val="92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Функция индикации оставшегося срока службы батареи в единицах времени</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Необходимо для оптимизации ведения пациента на амбулаторном этапе </w:t>
            </w:r>
            <w:r>
              <w:rPr>
                <w:rStyle w:val="CharStyle22"/>
                <w:lang w:val="en-US" w:eastAsia="en-US"/>
              </w:rPr>
              <w:t xml:space="preserve">— </w:t>
            </w:r>
            <w:r>
              <w:rPr>
                <w:rStyle w:val="CharStyle22"/>
              </w:rPr>
              <w:t>для более точного определения даты контрольных проверок электрокардиостимулятора.</w:t>
            </w:r>
          </w:p>
        </w:tc>
      </w:tr>
      <w:tr>
        <w:trPr>
          <w:trHeight w:val="46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Диапазон желудочковой чувствительности, мВ</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подобрать порог детектирования для максимальной работы сердца на собственном ритме.</w:t>
            </w:r>
          </w:p>
        </w:tc>
      </w:tr>
      <w:tr>
        <w:trPr>
          <w:trHeight w:val="46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Диапазон предсердной чувствительности, мВ</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подобрать порог детектирования для максимальной работы сердца на собственном ритме.</w:t>
            </w:r>
          </w:p>
        </w:tc>
      </w:tr>
      <w:tr>
        <w:trPr>
          <w:trHeight w:val="691" w:hRule="exact"/>
        </w:trPr>
        <w:tc>
          <w:tcPr>
            <w:vMerge w:val="restart"/>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26.60.14.110</w:t>
              <w:softHyphen/>
              <w:t xml:space="preserve">00000041 </w:t>
            </w:r>
            <w:r>
              <w:rPr>
                <w:rStyle w:val="CharStyle22"/>
              </w:rPr>
              <w:t xml:space="preserve">(ОКПД2 </w:t>
            </w:r>
            <w:r>
              <w:rPr>
                <w:rStyle w:val="CharStyle22"/>
                <w:lang w:val="en-US" w:eastAsia="en-US"/>
              </w:rPr>
              <w:t xml:space="preserve">26.60.14.110, </w:t>
            </w:r>
            <w:r>
              <w:rPr>
                <w:rStyle w:val="CharStyle22"/>
              </w:rPr>
              <w:t xml:space="preserve">НКМИ </w:t>
            </w:r>
            <w:r>
              <w:rPr>
                <w:rStyle w:val="CharStyle22"/>
                <w:lang w:val="en-US" w:eastAsia="en-US"/>
              </w:rPr>
              <w:t>137360)</w:t>
            </w:r>
          </w:p>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Отведение электрокардиости мулятора эндокардиальное </w:t>
            </w:r>
            <w:r>
              <w:rPr>
                <w:rStyle w:val="CharStyle22"/>
                <w:lang w:val="en-US" w:eastAsia="en-US"/>
              </w:rPr>
              <w:t>*</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Биполярный</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Имеет оба полюса (катод и анод) в дистальной части электрода, что уменьшает влияние внешних помех (мышечной активности, электромагнитных полей) на функции электрокардиостимулятора (ЭКС).</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Фиксация активная</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Определяется формой строения кончика электрода, посредством выдвигающегося спирального винта, вкручивающегося в ткани сердца.</w:t>
            </w:r>
          </w:p>
        </w:tc>
      </w:tr>
      <w:tr>
        <w:trPr>
          <w:trHeight w:val="926"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Длина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Определенная клиническими исследованиями оптимальная длина электрода от ложа ЭКС до эндокарда полостей сердца, позволяющая достичь камеры сердца и не оставлять излишней длины электрода в его полостях для снижения опасности развития тромбозов, нарушения р</w:t>
            </w:r>
          </w:p>
        </w:tc>
      </w:tr>
      <w:tr>
        <w:trPr>
          <w:trHeight w:val="691"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Площадь катода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Определенная клиническими исследованиями площадь контакта с эндокардом сердца для достижения оптимальной работы ЭКС и минимизации повреждения ткани сердца.</w:t>
            </w:r>
          </w:p>
        </w:tc>
      </w:tr>
      <w:tr>
        <w:trPr>
          <w:trHeight w:val="470"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rPr>
              <w:t>Площадь анода</w:t>
            </w:r>
          </w:p>
        </w:tc>
        <w:tc>
          <w:tcPr>
            <w:tcBorders>
              <w:top w:val="single" w:sz="4"/>
              <w:left w:val="single" w:sz="4"/>
              <w:bottom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Определенная клиническими исследованиями площадь контакта с эндокардом сердца для достижения оптимальной работы ЭКС и</w:t>
            </w:r>
          </w:p>
        </w:tc>
      </w:tr>
    </w:tbl>
    <w:p>
      <w:pPr>
        <w:widowControl w:val="0"/>
        <w:spacing w:line="1" w:lineRule="exact"/>
      </w:pPr>
      <w:r>
        <w:br w:type="page"/>
      </w:r>
    </w:p>
    <w:tbl>
      <w:tblPr>
        <w:tblOverlap w:val="never"/>
        <w:jc w:val="center"/>
        <w:tblLayout w:type="fixed"/>
      </w:tblPr>
      <w:tblGrid>
        <w:gridCol w:w="1608"/>
        <w:gridCol w:w="2266"/>
        <w:gridCol w:w="6562"/>
      </w:tblGrid>
      <w:tr>
        <w:trPr>
          <w:trHeight w:val="230" w:hRule="exact"/>
        </w:trPr>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минимизации повреждения ткани сердца.</w:t>
            </w:r>
          </w:p>
        </w:tc>
      </w:tr>
      <w:tr>
        <w:trPr>
          <w:trHeight w:val="922"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Наружный диаметр электрода, </w:t>
            </w:r>
            <w:r>
              <w:rPr>
                <w:rStyle w:val="CharStyle22"/>
                <w:lang w:val="en-US" w:eastAsia="en-US"/>
              </w:rPr>
              <w:t>Fr</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Определенное клиническими исследованиями оптимальное соотношение диаметра электрода и вены, через которую он устанавливается, обеспечивающее его прочность (сопротивление на излом, стабильность позиционирования, срок эксплуатации) и в то же время не затр</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Рентгеноконтрастная метка спирального винта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Обеспечивает возможность визуального контроля выдвижения (возврата) спирального винта.</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Стеройд</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минимизировать постоперационный воспалительный процесс в месте контакта с миокардом</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Разъем </w:t>
            </w:r>
            <w:r>
              <w:rPr>
                <w:rStyle w:val="CharStyle22"/>
                <w:lang w:val="en-US" w:eastAsia="en-US"/>
              </w:rPr>
              <w:t xml:space="preserve">3,2 </w:t>
            </w:r>
            <w:r>
              <w:rPr>
                <w:rStyle w:val="CharStyle22"/>
              </w:rPr>
              <w:t xml:space="preserve">мм </w:t>
            </w:r>
            <w:r>
              <w:rPr>
                <w:rStyle w:val="CharStyle22"/>
                <w:lang w:val="en-US" w:eastAsia="en-US"/>
              </w:rPr>
              <w:t>(IS-1)</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Стандарт коннекторного разъема для подключения ЭКС, данный параметр необходим для установления соответствия разъемов ЭКС и электродов.</w:t>
            </w:r>
          </w:p>
        </w:tc>
      </w:tr>
      <w:tr>
        <w:trPr>
          <w:trHeight w:val="696" w:hRule="exact"/>
        </w:trPr>
        <w:tc>
          <w:tcPr>
            <w:vMerge w:val="restart"/>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26.60.14.110</w:t>
              <w:softHyphen/>
              <w:t xml:space="preserve">00000041 </w:t>
            </w:r>
            <w:r>
              <w:rPr>
                <w:rStyle w:val="CharStyle22"/>
              </w:rPr>
              <w:t xml:space="preserve">(ОКПД2 </w:t>
            </w:r>
            <w:r>
              <w:rPr>
                <w:rStyle w:val="CharStyle22"/>
                <w:lang w:val="en-US" w:eastAsia="en-US"/>
              </w:rPr>
              <w:t xml:space="preserve">26.60.14.110, </w:t>
            </w:r>
            <w:r>
              <w:rPr>
                <w:rStyle w:val="CharStyle22"/>
              </w:rPr>
              <w:t xml:space="preserve">НКМИ </w:t>
            </w:r>
            <w:r>
              <w:rPr>
                <w:rStyle w:val="CharStyle22"/>
                <w:lang w:val="en-US" w:eastAsia="en-US"/>
              </w:rPr>
              <w:t>137360)</w:t>
            </w:r>
          </w:p>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Отведение электрокардиости мулятора эндокардиальное </w:t>
            </w:r>
            <w:r>
              <w:rPr>
                <w:rStyle w:val="CharStyle22"/>
                <w:lang w:val="en-US" w:eastAsia="en-US"/>
              </w:rPr>
              <w:t>*</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Биполярный</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Имеет оба полюса (катод и анод) в дистальной части электрода, что уменьшает влияние внешних помех (мышечной активности, электромагнитных полей) на функции электрокардиостимулятора (ЭКС).</w:t>
            </w:r>
          </w:p>
        </w:tc>
      </w:tr>
      <w:tr>
        <w:trPr>
          <w:trHeight w:val="46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200"/>
              <w:jc w:val="left"/>
            </w:pPr>
            <w:r>
              <w:rPr>
                <w:rStyle w:val="CharStyle22"/>
              </w:rPr>
              <w:t>Фиксация активная</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Определяется формой строения кончика электрода, посредством выдвигающегося спирального винта, вкручивающегося в ткани сердца.</w:t>
            </w:r>
          </w:p>
        </w:tc>
      </w:tr>
      <w:tr>
        <w:trPr>
          <w:trHeight w:val="92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Длина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Определенная клиническими исследованиями оптимальная длина электрода от ложа ЭКС до эндокарда полостей сердца, позволяющая достичь камеры сердца и не оставлять излишней длины электрода в его полостях для снижения опасности развития тромбозов, нарушения р</w:t>
            </w:r>
          </w:p>
        </w:tc>
      </w:tr>
      <w:tr>
        <w:trPr>
          <w:trHeight w:val="69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Площадь катода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Определенная клиническими исследованиями площадь контакта с эндокардом сердца для достижения оптимальной работы ЭКС и минимизации повреждения ткани сердца.</w:t>
            </w:r>
          </w:p>
        </w:tc>
      </w:tr>
      <w:tr>
        <w:trPr>
          <w:trHeight w:val="69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Площадь анода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Определенная клиническими исследованиями площадь контакта с эндокардом сердца для достижения оптимальной работы ЭКС и минимизации повреждения ткани сердца.</w:t>
            </w:r>
          </w:p>
        </w:tc>
      </w:tr>
      <w:tr>
        <w:trPr>
          <w:trHeight w:val="92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Наружный диаметр электрода, </w:t>
            </w:r>
            <w:r>
              <w:rPr>
                <w:rStyle w:val="CharStyle22"/>
                <w:lang w:val="en-US" w:eastAsia="en-US"/>
              </w:rPr>
              <w:t>Fr</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Определенное клиническими исследованиями оптимальное соотношение диаметра электрода и вены, через которую он устанавливается, обеспечивающее его прочность (сопротивление на излом, стабильность позиционирования, срок эксплуатации) и в то же время не затр</w:t>
            </w:r>
          </w:p>
        </w:tc>
      </w:tr>
      <w:tr>
        <w:trPr>
          <w:trHeight w:val="46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Рентгеноконтрастная метка спирального винта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Обеспечивает возможность визуального контроля выдвижения (возврата) спирального винта.</w:t>
            </w:r>
          </w:p>
        </w:tc>
      </w:tr>
      <w:tr>
        <w:trPr>
          <w:trHeight w:val="46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200"/>
              <w:jc w:val="both"/>
            </w:pPr>
            <w:r>
              <w:rPr>
                <w:rStyle w:val="CharStyle22"/>
              </w:rPr>
              <w:t xml:space="preserve">Разъем </w:t>
            </w:r>
            <w:r>
              <w:rPr>
                <w:rStyle w:val="CharStyle22"/>
                <w:lang w:val="en-US" w:eastAsia="en-US"/>
              </w:rPr>
              <w:t xml:space="preserve">3,2 </w:t>
            </w:r>
            <w:r>
              <w:rPr>
                <w:rStyle w:val="CharStyle22"/>
              </w:rPr>
              <w:t xml:space="preserve">мм </w:t>
            </w:r>
            <w:r>
              <w:rPr>
                <w:rStyle w:val="CharStyle22"/>
                <w:lang w:val="en-US" w:eastAsia="en-US"/>
              </w:rPr>
              <w:t>(IS-1)</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Стандарт коннекторного разъема для подключения ЭКС, данный параметр необходим для установления соответствия разъемов ЭКС и электродов.</w:t>
            </w:r>
          </w:p>
        </w:tc>
      </w:tr>
      <w:tr>
        <w:trPr>
          <w:trHeight w:val="46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Длина </w:t>
            </w:r>
            <w:r>
              <w:rPr>
                <w:rStyle w:val="CharStyle22"/>
                <w:lang w:val="en-US" w:eastAsia="en-US"/>
              </w:rPr>
              <w:t xml:space="preserve">J-образного </w:t>
            </w:r>
            <w:r>
              <w:rPr>
                <w:rStyle w:val="CharStyle22"/>
              </w:rPr>
              <w:t>проводника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Оптимальная при манипуляциях кривизна и длина проводника для проведения электрода в сердце.</w:t>
            </w:r>
          </w:p>
        </w:tc>
      </w:tr>
      <w:tr>
        <w:trPr>
          <w:trHeight w:val="926" w:hRule="exact"/>
        </w:trPr>
        <w:tc>
          <w:tcPr>
            <w:vMerge w:val="restart"/>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26.60.14.110</w:t>
              <w:softHyphen/>
              <w:t xml:space="preserve">00000044 </w:t>
            </w:r>
            <w:r>
              <w:rPr>
                <w:rStyle w:val="CharStyle22"/>
              </w:rPr>
              <w:t xml:space="preserve">(ОКПД2 </w:t>
            </w:r>
            <w:r>
              <w:rPr>
                <w:rStyle w:val="CharStyle22"/>
                <w:lang w:val="en-US" w:eastAsia="en-US"/>
              </w:rPr>
              <w:t xml:space="preserve">26.60.14.110, </w:t>
            </w:r>
            <w:r>
              <w:rPr>
                <w:rStyle w:val="CharStyle22"/>
              </w:rPr>
              <w:t xml:space="preserve">НКМИ </w:t>
            </w:r>
            <w:r>
              <w:rPr>
                <w:rStyle w:val="CharStyle22"/>
                <w:lang w:val="en-US" w:eastAsia="en-US"/>
              </w:rPr>
              <w:t xml:space="preserve">139070) </w:t>
            </w:r>
            <w:r>
              <w:rPr>
                <w:rStyle w:val="CharStyle22"/>
              </w:rPr>
              <w:t>Электрокардиост имулятор имплантируемый двухкамерный, частотно</w:t>
              <w:softHyphen/>
              <w:t>адаптивный*</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200"/>
              <w:jc w:val="left"/>
            </w:pPr>
            <w:r>
              <w:rPr>
                <w:rStyle w:val="CharStyle22"/>
              </w:rPr>
              <w:t>Режимы стимуляции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Необходимый минимальный выбор для настройки двухкамерных режимов в зависимости от потребностей организма пациента и рабочего состояния системы, а также для временного выключения стимулятора с целью проведения каких-либо манипуляций (операций, физи</w:t>
            </w:r>
          </w:p>
        </w:tc>
      </w:tr>
      <w:tr>
        <w:trPr>
          <w:trHeight w:val="92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Безопасная стимуляция желудочка (Распознавание пере</w:t>
              <w:softHyphen/>
              <w:t>крестного восприятия)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(Распознавание перекрестного восприятия) </w:t>
            </w:r>
            <w:r>
              <w:rPr>
                <w:rStyle w:val="CharStyle22"/>
                <w:lang w:val="en-US" w:eastAsia="en-US"/>
              </w:rPr>
              <w:t xml:space="preserve">- </w:t>
            </w:r>
            <w:r>
              <w:rPr>
                <w:rStyle w:val="CharStyle22"/>
              </w:rPr>
              <w:t>функции позволяет распознать и блокировать ситуацию, которая может привести к ложному запрету желудочкового стимула.</w:t>
            </w:r>
          </w:p>
        </w:tc>
      </w:tr>
      <w:tr>
        <w:trPr>
          <w:trHeight w:val="922"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Минимизация желудочковой стимуляции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Режим который позволяет при наличии собственного </w:t>
            </w:r>
            <w:r>
              <w:rPr>
                <w:rStyle w:val="CharStyle22"/>
                <w:lang w:val="en-US" w:eastAsia="en-US"/>
              </w:rPr>
              <w:t xml:space="preserve">A-V </w:t>
            </w:r>
            <w:r>
              <w:rPr>
                <w:rStyle w:val="CharStyle22"/>
              </w:rPr>
              <w:t xml:space="preserve">проведения переходить из режима двухкамерной стимуляции </w:t>
            </w:r>
            <w:r>
              <w:rPr>
                <w:rStyle w:val="CharStyle22"/>
                <w:lang w:val="en-US" w:eastAsia="en-US"/>
              </w:rPr>
              <w:t xml:space="preserve">DDD(R) </w:t>
            </w:r>
            <w:r>
              <w:rPr>
                <w:rStyle w:val="CharStyle22"/>
              </w:rPr>
              <w:t xml:space="preserve">в более физиологичный режим однокамерной предсердной стимуляции </w:t>
            </w:r>
            <w:r>
              <w:rPr>
                <w:rStyle w:val="CharStyle22"/>
                <w:lang w:val="en-US" w:eastAsia="en-US"/>
              </w:rPr>
              <w:t xml:space="preserve">AAI(R) </w:t>
            </w:r>
            <w:r>
              <w:rPr>
                <w:rStyle w:val="CharStyle22"/>
              </w:rPr>
              <w:t>тем самым максимально сохраняя собственный ритм и экономя батарею.</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Повторный гистерезис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сохранять собственный ритм при возникновении кратковременных пауз.</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Поиск собственной активности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максимально сохранить собственный сердечный ритм в сложных клинических случаях.</w:t>
            </w:r>
          </w:p>
        </w:tc>
      </w:tr>
      <w:tr>
        <w:trPr>
          <w:trHeight w:val="926"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Купирование пейсмейкерной тахикардии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функция, позволяющая исключить вероятность развития пейсмейкерных тахикардий, то есть постоянного во времени и патологически завышенного по частоте сердцебиения, которое может возникнуть при нормально работающем ЭКС, но не учитывающем индивидуальных особе</w:t>
            </w:r>
          </w:p>
        </w:tc>
      </w:tr>
      <w:tr>
        <w:trPr>
          <w:trHeight w:val="466"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Телеметрическая информация:</w:t>
            </w:r>
          </w:p>
        </w:tc>
        <w:tc>
          <w:tcPr>
            <w:tcBorders>
              <w:top w:val="single" w:sz="4"/>
              <w:left w:val="single" w:sz="4"/>
              <w:bottom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Позволяет при проведении </w:t>
            </w:r>
            <w:r>
              <w:rPr>
                <w:rStyle w:val="CharStyle22"/>
                <w:lang w:val="en-US" w:eastAsia="en-US"/>
              </w:rPr>
              <w:t xml:space="preserve">Follow UP </w:t>
            </w:r>
            <w:r>
              <w:rPr>
                <w:rStyle w:val="CharStyle22"/>
              </w:rPr>
              <w:t>(проверки ЭКС) узнать необходимую информацию о пациенте.</w:t>
            </w:r>
          </w:p>
        </w:tc>
      </w:tr>
    </w:tbl>
    <w:p>
      <w:pPr>
        <w:widowControl w:val="0"/>
        <w:spacing w:line="1" w:lineRule="exact"/>
      </w:pPr>
      <w:r>
        <w:br w:type="page"/>
      </w:r>
    </w:p>
    <w:tbl>
      <w:tblPr>
        <w:tblOverlap w:val="never"/>
        <w:jc w:val="center"/>
        <w:tblLayout w:type="fixed"/>
      </w:tblPr>
      <w:tblGrid>
        <w:gridCol w:w="1608"/>
        <w:gridCol w:w="2266"/>
        <w:gridCol w:w="6562"/>
      </w:tblGrid>
      <w:tr>
        <w:trPr>
          <w:trHeight w:val="1152" w:hRule="exact"/>
        </w:trPr>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Сведения о пациенте (ФИО, год рождения, диагноз, номер истории болезни, дата и место имплантации)</w:t>
            </w:r>
          </w:p>
        </w:tc>
        <w:tc>
          <w:tcPr>
            <w:tcBorders>
              <w:top w:val="single" w:sz="4"/>
              <w:left w:val="single" w:sz="4"/>
              <w:right w:val="single" w:sz="4"/>
            </w:tcBorders>
            <w:shd w:val="clear" w:color="auto" w:fill="auto"/>
            <w:vAlign w:val="top"/>
          </w:tcPr>
          <w:p>
            <w:pPr>
              <w:widowControl w:val="0"/>
              <w:rPr>
                <w:sz w:val="10"/>
                <w:szCs w:val="10"/>
              </w:rPr>
            </w:pPr>
          </w:p>
        </w:tc>
      </w:tr>
      <w:tr>
        <w:trPr>
          <w:trHeight w:val="92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Функция индикации оставшегося срока службы батареи в единицах времени</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Необходимо для оптимизации ведения пациента на амбулаторном этапе </w:t>
            </w:r>
            <w:r>
              <w:rPr>
                <w:rStyle w:val="CharStyle22"/>
                <w:lang w:val="en-US" w:eastAsia="en-US"/>
              </w:rPr>
              <w:t xml:space="preserve">— </w:t>
            </w:r>
            <w:r>
              <w:rPr>
                <w:rStyle w:val="CharStyle22"/>
              </w:rPr>
              <w:t>для более точного определения даты контрольных проверок электрокардиостимулятора.</w:t>
            </w:r>
          </w:p>
        </w:tc>
      </w:tr>
      <w:tr>
        <w:trPr>
          <w:trHeight w:val="92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Гистограммы частотного спектра воспринятых событий (предсердных и желудочковых)</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обнаруживать и выявлять ранее не диагностированные нарушения ритма пациента.</w:t>
            </w:r>
          </w:p>
        </w:tc>
      </w:tr>
      <w:tr>
        <w:trPr>
          <w:trHeight w:val="922"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Гистограммы частот-ного спектра </w:t>
            </w:r>
            <w:r>
              <w:rPr>
                <w:rStyle w:val="CharStyle22"/>
                <w:lang w:val="en-US" w:eastAsia="en-US"/>
              </w:rPr>
              <w:t xml:space="preserve">AV </w:t>
            </w:r>
            <w:r>
              <w:rPr>
                <w:rStyle w:val="CharStyle22"/>
              </w:rPr>
              <w:t xml:space="preserve">проведения </w:t>
            </w:r>
            <w:r>
              <w:rPr>
                <w:rStyle w:val="CharStyle22"/>
                <w:lang w:val="en-US" w:eastAsia="en-US"/>
              </w:rPr>
              <w:t>(AsVs, AsVp, ApVs, ApVp)</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обнаруживать и выявлять ранее не диагностированные нарушения ритма пациента.</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Счетчики переклюений режима стимуляции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обнаруживать и выявлять ранее не диагностированные нарушения ритма пациента.</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Тренд адаптации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обнаруживать и выявлять ранее не диагностированные нарушения ритма пациента.</w:t>
            </w:r>
          </w:p>
        </w:tc>
      </w:tr>
      <w:tr>
        <w:trPr>
          <w:trHeight w:val="696"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rPr>
              <w:t>Суточные данные о максимальной нагрузке и частоте</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обнаруживать и выявлять ранее не диагностированные нарушения ритма пациента.</w:t>
            </w:r>
          </w:p>
        </w:tc>
      </w:tr>
      <w:tr>
        <w:trPr>
          <w:trHeight w:val="926"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rPr>
              <w:t>Минимальная амплитуда импульса (по обоим каналам), В</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Позволяетустанавливать адекватные (меняющиеся во времени) параметры от которых зависит срок службы ЭКС и «ощущения» пациента от проводимой искусственной стимуляции сердца.</w:t>
            </w:r>
          </w:p>
        </w:tc>
      </w:tr>
      <w:tr>
        <w:trPr>
          <w:trHeight w:val="69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Максимальная амплитуда импульса (по обоим каналам), В</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устанавливать адекватные (меняющиеся во времени) параметры от которых зависит срок службы ЭКС и «ощущения» пациента от проводимой искусственной стимуляции сердца.</w:t>
            </w:r>
          </w:p>
        </w:tc>
      </w:tr>
      <w:tr>
        <w:trPr>
          <w:trHeight w:val="69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Минимальная предсердная чувствительность, мВ</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подобрать порог детектирования для максимальной работы сердца на собственном ритме.</w:t>
            </w:r>
          </w:p>
        </w:tc>
      </w:tr>
      <w:tr>
        <w:trPr>
          <w:trHeight w:val="69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Максимальная предсердная чувствительност, мВ</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подобрать порог детектирования для максимальной работы сердца на собственном ритме.</w:t>
            </w:r>
          </w:p>
        </w:tc>
      </w:tr>
      <w:tr>
        <w:trPr>
          <w:trHeight w:val="69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Минимальная желудочковая чувствительность, мВ</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подобрать порог детектирования для максимальной работы сердца на собственном ритме.</w:t>
            </w:r>
          </w:p>
        </w:tc>
      </w:tr>
      <w:tr>
        <w:trPr>
          <w:trHeight w:val="69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Максимальная желудочковая чувствительность, мВ</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подобрать порог детектирования для максимальной работы сердца на собственном ритме.</w:t>
            </w:r>
          </w:p>
        </w:tc>
      </w:tr>
      <w:tr>
        <w:trPr>
          <w:trHeight w:val="691"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 xml:space="preserve">A-V </w:t>
            </w:r>
            <w:r>
              <w:rPr>
                <w:rStyle w:val="CharStyle22"/>
              </w:rPr>
              <w:t>задержка в диапазоне, мс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Регулировка </w:t>
            </w:r>
            <w:r>
              <w:rPr>
                <w:rStyle w:val="CharStyle22"/>
                <w:lang w:val="en-US" w:eastAsia="en-US"/>
              </w:rPr>
              <w:t xml:space="preserve">A-V </w:t>
            </w:r>
            <w:r>
              <w:rPr>
                <w:rStyle w:val="CharStyle22"/>
              </w:rPr>
              <w:t xml:space="preserve">задержки позволяет улучшить вероятность детекции </w:t>
            </w:r>
            <w:r>
              <w:rPr>
                <w:rStyle w:val="CharStyle22"/>
                <w:lang w:val="en-US" w:eastAsia="en-US"/>
              </w:rPr>
              <w:t xml:space="preserve">R- </w:t>
            </w:r>
            <w:r>
              <w:rPr>
                <w:rStyle w:val="CharStyle22"/>
              </w:rPr>
              <w:t>волны (собственного сокращения желудочков), что позволяет максимально сохранить собственный ритм.</w:t>
            </w:r>
          </w:p>
        </w:tc>
      </w:tr>
      <w:tr>
        <w:trPr>
          <w:trHeight w:val="696"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Слепой период </w:t>
            </w:r>
            <w:r>
              <w:rPr>
                <w:rStyle w:val="CharStyle22"/>
                <w:lang w:val="en-US" w:eastAsia="en-US"/>
              </w:rPr>
              <w:t xml:space="preserve">V-канала </w:t>
            </w:r>
            <w:r>
              <w:rPr>
                <w:rStyle w:val="CharStyle22"/>
              </w:rPr>
              <w:t>в диапазоне, мс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предотвратить ложное детектирование предсердного стимула на желудочковом канале, что привело бы к нежелательному ингибированию желудочкового стимула</w:t>
            </w:r>
          </w:p>
        </w:tc>
      </w:tr>
      <w:tr>
        <w:trPr>
          <w:trHeight w:val="1848" w:hRule="exact"/>
        </w:trPr>
        <w:tc>
          <w:tcPr>
            <w:vMerge w:val="restart"/>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26.60.14.110</w:t>
              <w:softHyphen/>
              <w:t xml:space="preserve">00000048 </w:t>
            </w:r>
            <w:r>
              <w:rPr>
                <w:rStyle w:val="CharStyle22"/>
              </w:rPr>
              <w:t xml:space="preserve">(ОКПД2 </w:t>
            </w:r>
            <w:r>
              <w:rPr>
                <w:rStyle w:val="CharStyle22"/>
                <w:lang w:val="en-US" w:eastAsia="en-US"/>
              </w:rPr>
              <w:t xml:space="preserve">26.60.14.110, </w:t>
            </w:r>
            <w:r>
              <w:rPr>
                <w:rStyle w:val="CharStyle22"/>
              </w:rPr>
              <w:t xml:space="preserve">НКМИ </w:t>
            </w:r>
            <w:r>
              <w:rPr>
                <w:rStyle w:val="CharStyle22"/>
                <w:lang w:val="en-US" w:eastAsia="en-US"/>
              </w:rPr>
              <w:t xml:space="preserve">334620 </w:t>
            </w:r>
            <w:r>
              <w:rPr>
                <w:rStyle w:val="CharStyle22"/>
              </w:rPr>
              <w:t>Электрокардиост имулятор имплантируемый двухкамерный,</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Функция автоматического переключения режимов стимуляции с </w:t>
            </w:r>
            <w:r>
              <w:rPr>
                <w:rStyle w:val="CharStyle22"/>
                <w:lang w:val="en-US" w:eastAsia="en-US"/>
              </w:rPr>
              <w:t xml:space="preserve">AAI(R) </w:t>
            </w:r>
            <w:r>
              <w:rPr>
                <w:rStyle w:val="CharStyle22"/>
              </w:rPr>
              <w:t xml:space="preserve">на </w:t>
            </w:r>
            <w:r>
              <w:rPr>
                <w:rStyle w:val="CharStyle22"/>
                <w:lang w:val="en-US" w:eastAsia="en-US"/>
              </w:rPr>
              <w:t xml:space="preserve">DDD(R) </w:t>
            </w:r>
            <w:r>
              <w:rPr>
                <w:rStyle w:val="CharStyle22"/>
              </w:rPr>
              <w:t>с допустимым пропуском не более одного желудочкового события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 для снижения побочных эффектов правожелудочковой стимуляции</w:t>
            </w:r>
          </w:p>
        </w:tc>
      </w:tr>
      <w:tr>
        <w:trPr>
          <w:trHeight w:val="235" w:hRule="exact"/>
        </w:trPr>
        <w:tc>
          <w:tcPr>
            <w:vMerge/>
            <w:tcBorders>
              <w:left w:val="single" w:sz="4"/>
              <w:bottom w:val="single" w:sz="4"/>
            </w:tcBorders>
            <w:shd w:val="clear" w:color="auto" w:fill="auto"/>
            <w:vAlign w:val="bottom"/>
          </w:tcPr>
          <w:p>
            <w:pP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Русскоязычный</w:t>
            </w:r>
          </w:p>
        </w:tc>
        <w:tc>
          <w:tcPr>
            <w:tcBorders>
              <w:top w:val="single" w:sz="4"/>
              <w:left w:val="single" w:sz="4"/>
              <w:bottom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 для более быстрого освоения продукции клиническими</w:t>
            </w:r>
          </w:p>
        </w:tc>
      </w:tr>
    </w:tbl>
    <w:p>
      <w:pPr>
        <w:widowControl w:val="0"/>
        <w:spacing w:line="1" w:lineRule="exact"/>
      </w:pPr>
      <w:r>
        <w:br w:type="page"/>
      </w:r>
    </w:p>
    <w:tbl>
      <w:tblPr>
        <w:tblOverlap w:val="never"/>
        <w:jc w:val="center"/>
        <w:tblLayout w:type="fixed"/>
      </w:tblPr>
      <w:tblGrid>
        <w:gridCol w:w="1608"/>
        <w:gridCol w:w="2266"/>
        <w:gridCol w:w="6562"/>
      </w:tblGrid>
      <w:tr>
        <w:trPr>
          <w:trHeight w:val="461" w:hRule="exact"/>
        </w:trPr>
        <w:tc>
          <w:tcPr>
            <w:vMerge w:val="restart"/>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частотно</w:t>
              <w:softHyphen/>
              <w:t>адаптивный, МРТ совместимый*</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интерфейс программирования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специалистами</w:t>
            </w:r>
          </w:p>
        </w:tc>
      </w:tr>
      <w:tr>
        <w:trPr>
          <w:trHeight w:val="46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Отчеты устройства на русском языке</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обеспечения корректного документооборота в клинике</w:t>
            </w:r>
          </w:p>
        </w:tc>
      </w:tr>
      <w:tr>
        <w:trPr>
          <w:trHeight w:val="922"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Автоматическое измерение порога стимуляции правого предсердия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обеспечения безопасности пациента в периоды между контрольными визитами в клинику.</w:t>
            </w:r>
          </w:p>
        </w:tc>
      </w:tr>
      <w:tr>
        <w:trPr>
          <w:trHeight w:val="92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Автоматическое измерение порога стимуляции правого желудочка</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обеспечения безопасности пациента в периоды между контрольными визитами в клинику.</w:t>
            </w:r>
          </w:p>
        </w:tc>
      </w:tr>
      <w:tr>
        <w:trPr>
          <w:trHeight w:val="69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Количество независимо программируемых зон частотной адаптации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более физиологичной адаптации устройства к потребностям пациента в изменении частоты стимуляции при физической нагрузке</w:t>
            </w:r>
          </w:p>
        </w:tc>
      </w:tr>
      <w:tr>
        <w:trPr>
          <w:trHeight w:val="69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Алгоритм ответа на падение частоты сердечных сокращений</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 для имплантации электрокардиостимулятора по показанию нейрокардиогенное синкопе</w:t>
            </w:r>
          </w:p>
        </w:tc>
      </w:tr>
      <w:tr>
        <w:trPr>
          <w:trHeight w:val="92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Диапазон регулировки базовой (основной) частоты стимуляции, уд/мин</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возможности выбора настроек базовой частоты в зависимости от индивидуальных потребностей пациента</w:t>
            </w:r>
          </w:p>
        </w:tc>
      </w:tr>
      <w:tr>
        <w:trPr>
          <w:trHeight w:val="69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160"/>
              <w:jc w:val="left"/>
            </w:pPr>
            <w:r>
              <w:rPr>
                <w:rStyle w:val="CharStyle22"/>
              </w:rPr>
              <w:t>Диапазон регулировки максимальной частоты отслеживания, уд/мин</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возможности выбора настроек базовой частоты в зависимости от индивидуальных потребностей пациента</w:t>
            </w:r>
          </w:p>
        </w:tc>
      </w:tr>
      <w:tr>
        <w:trPr>
          <w:trHeight w:val="46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Алгоритм безопасной стимуляции желудочков</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 для предотвращения подавление желудочковой активности вследствие перекрестного взаимодействия</w:t>
            </w:r>
          </w:p>
        </w:tc>
      </w:tr>
      <w:tr>
        <w:trPr>
          <w:trHeight w:val="69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Алгоритм ответа на желудочковую экстрасистолию</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 для предотвращения пейсмекерной тахикардии вызванной желудочковой экстрасистолой</w:t>
            </w:r>
          </w:p>
        </w:tc>
      </w:tr>
      <w:tr>
        <w:trPr>
          <w:trHeight w:val="922"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Алгоритм вмешательства при тахикардии, обусловленной кардиостимулятором</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 для автоматической детекции тахикардии индуцированной электрокардиостимулятором и ее прерывания</w:t>
            </w:r>
          </w:p>
        </w:tc>
      </w:tr>
      <w:tr>
        <w:trPr>
          <w:trHeight w:val="69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Алгоритм предпочтительной предсердной стимуляции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 для адаптации частоты</w:t>
            </w:r>
          </w:p>
          <w:p>
            <w:pPr>
              <w:pStyle w:val="Style21"/>
              <w:keepNext w:val="0"/>
              <w:keepLines w:val="0"/>
              <w:widowControl w:val="0"/>
              <w:shd w:val="clear" w:color="auto" w:fill="auto"/>
              <w:bidi w:val="0"/>
              <w:spacing w:before="0" w:after="0" w:line="240" w:lineRule="auto"/>
              <w:ind w:left="0" w:right="0" w:firstLine="0"/>
              <w:jc w:val="left"/>
            </w:pPr>
            <w:r>
              <w:rPr>
                <w:rStyle w:val="CharStyle22"/>
              </w:rPr>
              <w:t>стимуляции, чтобы она была несколько выше спонтанной синусовой частоты, для управления предсердным ритмом</w:t>
            </w:r>
          </w:p>
        </w:tc>
      </w:tr>
      <w:tr>
        <w:trPr>
          <w:trHeight w:val="69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Алгоритм овердрайва стимуляция после переключения режима</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предотвращения запуска нового эпизода тахиаритмии сразу после окончания предыдущего</w:t>
            </w:r>
          </w:p>
        </w:tc>
      </w:tr>
      <w:tr>
        <w:trPr>
          <w:trHeight w:val="69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Алгоритм неконкурентной предсердной стимуляции</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 для предотвращения инициации предсердных тахикардий</w:t>
            </w:r>
          </w:p>
        </w:tc>
      </w:tr>
      <w:tr>
        <w:trPr>
          <w:trHeight w:val="691" w:hRule="exact"/>
        </w:trPr>
        <w:tc>
          <w:tcPr>
            <w:vMerge w:val="restart"/>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26.60.14.110</w:t>
              <w:softHyphen/>
              <w:t xml:space="preserve">00004 </w:t>
            </w:r>
            <w:r>
              <w:rPr>
                <w:rStyle w:val="CharStyle22"/>
              </w:rPr>
              <w:t xml:space="preserve">(ОКПД2 </w:t>
            </w:r>
            <w:r>
              <w:rPr>
                <w:rStyle w:val="CharStyle22"/>
                <w:lang w:val="en-US" w:eastAsia="en-US"/>
              </w:rPr>
              <w:t xml:space="preserve">26.60.14.110, </w:t>
            </w:r>
            <w:r>
              <w:rPr>
                <w:rStyle w:val="CharStyle22"/>
              </w:rPr>
              <w:t xml:space="preserve">НКМИ </w:t>
            </w:r>
            <w:r>
              <w:rPr>
                <w:rStyle w:val="CharStyle22"/>
                <w:lang w:val="en-US" w:eastAsia="en-US"/>
              </w:rPr>
              <w:t xml:space="preserve">334640) </w:t>
            </w:r>
            <w:r>
              <w:rPr>
                <w:rStyle w:val="CharStyle22"/>
              </w:rPr>
              <w:t>Электрокардиост имулятор имплантируемый однокамерный, частотно</w:t>
              <w:softHyphen/>
              <w:t>адаптивный*</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Русскоязычный интерфейс программирования</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 для более быстрого освоения продукции клиническими специалистами</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Отчеты устройства на русском языке</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обеспечения корректного документооборота в клинике</w:t>
            </w:r>
          </w:p>
        </w:tc>
      </w:tr>
      <w:tr>
        <w:trPr>
          <w:trHeight w:val="92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Автоматическое измерение порога стимуляции правого желудочка</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обеспечения безопасности пациента в периоды между контрольными визитами в клинику.</w:t>
            </w:r>
          </w:p>
        </w:tc>
      </w:tr>
      <w:tr>
        <w:trPr>
          <w:trHeight w:val="69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Количество независимо программируемых зон частотной адаптации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более физиологичной адаптации устройства к потребностям пациента в изменении частоты стимуляции при физической нагрузке</w:t>
            </w:r>
          </w:p>
        </w:tc>
      </w:tr>
      <w:tr>
        <w:trPr>
          <w:trHeight w:val="701"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Функция сглаживания желудочкового ритма во время фибрилляции</w:t>
            </w:r>
          </w:p>
        </w:tc>
        <w:tc>
          <w:tcPr>
            <w:tcBorders>
              <w:top w:val="single" w:sz="4"/>
              <w:left w:val="single" w:sz="4"/>
              <w:bottom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Необходима для для того, чтобы сделать работу сердца более ритмичной при фибрилляции предсердий (мерцательной аритмии).</w:t>
            </w:r>
          </w:p>
        </w:tc>
      </w:tr>
    </w:tbl>
    <w:p>
      <w:pPr>
        <w:widowControl w:val="0"/>
        <w:spacing w:line="1" w:lineRule="exact"/>
      </w:pPr>
      <w:r>
        <w:br w:type="page"/>
      </w:r>
    </w:p>
    <w:tbl>
      <w:tblPr>
        <w:tblOverlap w:val="never"/>
        <w:jc w:val="center"/>
        <w:tblLayout w:type="fixed"/>
      </w:tblPr>
      <w:tblGrid>
        <w:gridCol w:w="1608"/>
        <w:gridCol w:w="2266"/>
        <w:gridCol w:w="6562"/>
      </w:tblGrid>
      <w:tr>
        <w:trPr>
          <w:trHeight w:val="23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предсердий</w:t>
            </w:r>
          </w:p>
        </w:tc>
        <w:tc>
          <w:tcPr>
            <w:tcBorders>
              <w:top w:val="single" w:sz="4"/>
              <w:left w:val="single" w:sz="4"/>
              <w:right w:val="single" w:sz="4"/>
            </w:tcBorders>
            <w:shd w:val="clear" w:color="auto" w:fill="auto"/>
            <w:vAlign w:val="top"/>
          </w:tcPr>
          <w:p>
            <w:pPr>
              <w:widowControl w:val="0"/>
              <w:rPr>
                <w:sz w:val="10"/>
                <w:szCs w:val="10"/>
              </w:rPr>
            </w:pPr>
          </w:p>
        </w:tc>
      </w:tr>
      <w:tr>
        <w:trPr>
          <w:trHeight w:val="461" w:hRule="exact"/>
        </w:trPr>
        <w:tc>
          <w:tcPr>
            <w:vMerge w:val="restart"/>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26.60.14.110</w:t>
              <w:softHyphen/>
              <w:t xml:space="preserve">00000033 </w:t>
            </w:r>
            <w:r>
              <w:rPr>
                <w:rStyle w:val="CharStyle22"/>
              </w:rPr>
              <w:t xml:space="preserve">(ОКПД2 </w:t>
            </w:r>
            <w:r>
              <w:rPr>
                <w:rStyle w:val="CharStyle22"/>
                <w:lang w:val="en-US" w:eastAsia="en-US"/>
              </w:rPr>
              <w:t xml:space="preserve">26.60.14.110, </w:t>
            </w:r>
            <w:r>
              <w:rPr>
                <w:rStyle w:val="CharStyle22"/>
              </w:rPr>
              <w:t xml:space="preserve">НКМИ </w:t>
            </w:r>
            <w:r>
              <w:rPr>
                <w:rStyle w:val="CharStyle22"/>
                <w:lang w:val="en-US" w:eastAsia="en-US"/>
              </w:rPr>
              <w:t>335270)</w:t>
            </w:r>
          </w:p>
          <w:p>
            <w:pPr>
              <w:pStyle w:val="Style21"/>
              <w:keepNext w:val="0"/>
              <w:keepLines w:val="0"/>
              <w:widowControl w:val="0"/>
              <w:shd w:val="clear" w:color="auto" w:fill="auto"/>
              <w:bidi w:val="0"/>
              <w:spacing w:before="0" w:after="0" w:line="240" w:lineRule="auto"/>
              <w:ind w:left="0" w:right="0" w:firstLine="0"/>
              <w:jc w:val="center"/>
            </w:pPr>
            <w:r>
              <w:rPr>
                <w:rStyle w:val="CharStyle22"/>
              </w:rPr>
              <w:t>Отведение электрокардиости мулятора эндокардиальное, МРТ совместимое*</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180"/>
              <w:jc w:val="both"/>
            </w:pPr>
            <w:r>
              <w:rPr>
                <w:rStyle w:val="CharStyle22"/>
              </w:rPr>
              <w:t>Длины стандартные</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имплантации в правое предсердие, правый желудочек различного размера сердец</w:t>
            </w:r>
          </w:p>
        </w:tc>
      </w:tr>
      <w:tr>
        <w:trPr>
          <w:trHeight w:val="696" w:hRule="exact"/>
        </w:trPr>
        <w:tc>
          <w:tcPr>
            <w:vMerge/>
            <w:tcBorders>
              <w:left w:val="single" w:sz="4"/>
            </w:tcBorders>
            <w:shd w:val="clear" w:color="auto" w:fill="auto"/>
            <w:vAlign w:val="bottom"/>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Материал проводника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Обеспечивает необходимые физические свойства проводника: Высокая проводимость, минимальное сопротивление, не имеет ферромагнитных свойств</w:t>
            </w:r>
          </w:p>
        </w:tc>
      </w:tr>
      <w:tr>
        <w:trPr>
          <w:trHeight w:val="230" w:hRule="exact"/>
        </w:trPr>
        <w:tc>
          <w:tcPr>
            <w:vMerge/>
            <w:tcBorders>
              <w:left w:val="single" w:sz="4"/>
            </w:tcBorders>
            <w:shd w:val="clear" w:color="auto" w:fill="auto"/>
            <w:vAlign w:val="bottom"/>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Тип фиксации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более надежной фиксации электрода в камере сердца</w:t>
            </w:r>
          </w:p>
        </w:tc>
      </w:tr>
      <w:tr>
        <w:trPr>
          <w:trHeight w:val="1157" w:hRule="exact"/>
        </w:trPr>
        <w:tc>
          <w:tcPr>
            <w:vMerge/>
            <w:tcBorders>
              <w:left w:val="single" w:sz="4"/>
            </w:tcBorders>
            <w:shd w:val="clear" w:color="auto" w:fill="auto"/>
            <w:vAlign w:val="bottom"/>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Материал изоляции</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Обеспечивает оптимальные сроки службы электрода, меньше подвержен разрушению в биологических тканях</w:t>
            </w:r>
          </w:p>
        </w:tc>
      </w:tr>
      <w:tr>
        <w:trPr>
          <w:trHeight w:val="691" w:hRule="exact"/>
        </w:trPr>
        <w:tc>
          <w:tcPr>
            <w:vMerge w:val="restart"/>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26.60.14.110</w:t>
              <w:softHyphen/>
              <w:t xml:space="preserve">00000033 </w:t>
            </w:r>
            <w:r>
              <w:rPr>
                <w:rStyle w:val="CharStyle22"/>
              </w:rPr>
              <w:t xml:space="preserve">(ОКПД2 </w:t>
            </w:r>
            <w:r>
              <w:rPr>
                <w:rStyle w:val="CharStyle22"/>
                <w:lang w:val="en-US" w:eastAsia="en-US"/>
              </w:rPr>
              <w:t xml:space="preserve">26.60.14.110, </w:t>
            </w:r>
            <w:r>
              <w:rPr>
                <w:rStyle w:val="CharStyle22"/>
              </w:rPr>
              <w:t xml:space="preserve">НКМИ </w:t>
            </w:r>
            <w:r>
              <w:rPr>
                <w:rStyle w:val="CharStyle22"/>
                <w:lang w:val="en-US" w:eastAsia="en-US"/>
              </w:rPr>
              <w:t>335270)</w:t>
            </w:r>
          </w:p>
          <w:p>
            <w:pPr>
              <w:pStyle w:val="Style21"/>
              <w:keepNext w:val="0"/>
              <w:keepLines w:val="0"/>
              <w:widowControl w:val="0"/>
              <w:shd w:val="clear" w:color="auto" w:fill="auto"/>
              <w:bidi w:val="0"/>
              <w:spacing w:before="0" w:after="0" w:line="240" w:lineRule="auto"/>
              <w:ind w:left="0" w:right="0" w:firstLine="0"/>
              <w:jc w:val="center"/>
            </w:pPr>
            <w:r>
              <w:rPr>
                <w:rStyle w:val="CharStyle22"/>
              </w:rPr>
              <w:t>Отведение электрокардиости мулятора эндокардиальное, МРТ совместимое*</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180"/>
              <w:jc w:val="both"/>
            </w:pPr>
            <w:r>
              <w:rPr>
                <w:rStyle w:val="CharStyle22"/>
              </w:rPr>
              <w:t>Длины стандартные</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имплантации в правое предсердие, правый желудочек различного размера сердец</w:t>
            </w:r>
          </w:p>
        </w:tc>
      </w:tr>
      <w:tr>
        <w:trPr>
          <w:trHeight w:val="696" w:hRule="exact"/>
        </w:trPr>
        <w:tc>
          <w:tcPr>
            <w:vMerge/>
            <w:tcBorders>
              <w:left w:val="single" w:sz="4"/>
            </w:tcBorders>
            <w:shd w:val="clear" w:color="auto" w:fill="auto"/>
            <w:vAlign w:val="bottom"/>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Материал проводника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Обеспечивает необходимые физические свойства проводника: Высокая проводимость, минимальное сопротивление, не имеет ферромагнитных свойств</w:t>
            </w:r>
          </w:p>
        </w:tc>
      </w:tr>
      <w:tr>
        <w:trPr>
          <w:trHeight w:val="230" w:hRule="exact"/>
        </w:trPr>
        <w:tc>
          <w:tcPr>
            <w:vMerge/>
            <w:tcBorders>
              <w:left w:val="single" w:sz="4"/>
            </w:tcBorders>
            <w:shd w:val="clear" w:color="auto" w:fill="auto"/>
            <w:vAlign w:val="bottom"/>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Тип фиксации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более надежной фиксации электрода в камере сердца</w:t>
            </w:r>
          </w:p>
        </w:tc>
      </w:tr>
      <w:tr>
        <w:trPr>
          <w:trHeight w:val="922" w:hRule="exact"/>
        </w:trPr>
        <w:tc>
          <w:tcPr>
            <w:vMerge/>
            <w:tcBorders>
              <w:left w:val="single" w:sz="4"/>
            </w:tcBorders>
            <w:shd w:val="clear" w:color="auto" w:fill="auto"/>
            <w:vAlign w:val="bottom"/>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Материал изоляции</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Обеспечивает оптимальные сроки службы электрода, меньше подвержен разрушению в биологических тканях</w:t>
            </w:r>
          </w:p>
        </w:tc>
      </w:tr>
      <w:tr>
        <w:trPr>
          <w:trHeight w:val="1618" w:hRule="exact"/>
        </w:trPr>
        <w:tc>
          <w:tcPr>
            <w:vMerge w:val="restart"/>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26.60.14.110</w:t>
              <w:softHyphen/>
              <w:t xml:space="preserve">00000048 </w:t>
            </w:r>
            <w:r>
              <w:rPr>
                <w:rStyle w:val="CharStyle22"/>
              </w:rPr>
              <w:t xml:space="preserve">(ОКПД2 </w:t>
            </w:r>
            <w:r>
              <w:rPr>
                <w:rStyle w:val="CharStyle22"/>
                <w:lang w:val="en-US" w:eastAsia="en-US"/>
              </w:rPr>
              <w:t>26.60.14.110,</w:t>
            </w:r>
          </w:p>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НКМИ </w:t>
            </w:r>
            <w:r>
              <w:rPr>
                <w:rStyle w:val="CharStyle22"/>
                <w:lang w:val="en-US" w:eastAsia="en-US"/>
              </w:rPr>
              <w:t xml:space="preserve">334620 </w:t>
            </w:r>
            <w:r>
              <w:rPr>
                <w:rStyle w:val="CharStyle22"/>
              </w:rPr>
              <w:t>Электрокардиост имулятор имплантируемый двухкамерный, частотно</w:t>
              <w:softHyphen/>
              <w:t>адаптивный, МРТ совместимый* Предоставляется преимущество в соответствии с</w:t>
            </w:r>
          </w:p>
          <w:p>
            <w:pPr>
              <w:pStyle w:val="Style21"/>
              <w:keepNext w:val="0"/>
              <w:keepLines w:val="0"/>
              <w:widowControl w:val="0"/>
              <w:shd w:val="clear" w:color="auto" w:fill="auto"/>
              <w:bidi w:val="0"/>
              <w:spacing w:before="0" w:after="0" w:line="240" w:lineRule="auto"/>
              <w:ind w:left="0" w:right="0" w:firstLine="140"/>
              <w:jc w:val="left"/>
            </w:pPr>
            <w:r>
              <w:rPr>
                <w:rStyle w:val="CharStyle22"/>
              </w:rPr>
              <w:t xml:space="preserve">ПП </w:t>
            </w:r>
            <w:r>
              <w:rPr>
                <w:rStyle w:val="CharStyle22"/>
                <w:lang w:val="en-US" w:eastAsia="en-US"/>
              </w:rPr>
              <w:t>№1875</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Электрокардиостимулято р должен поддерживать следующие режимы: </w:t>
            </w:r>
            <w:r>
              <w:rPr>
                <w:rStyle w:val="CharStyle22"/>
                <w:lang w:val="en-US" w:eastAsia="en-US"/>
              </w:rPr>
              <w:t>DDD(R); DDI(R); D00(R); VDD; VVI(R); VVT; V00(R); AAI(R); AAT; A00(R)</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Для обеспечения функциональной возможности со стороны имплантированного устройства корректировать любой тип нарушения ритма сердца.</w:t>
            </w:r>
          </w:p>
        </w:tc>
      </w:tr>
      <w:tr>
        <w:trPr>
          <w:trHeight w:val="926"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максимальное значение базовой частоты, уд/мин</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В качестве альтернативы провокационным фармакологическим пробам и стресс-тестам для диагностики ишемической болезни сердца или оценки эффективности принимаемой пациентом антиишемической медикаментозной терапии.</w:t>
            </w:r>
          </w:p>
        </w:tc>
      </w:tr>
      <w:tr>
        <w:trPr>
          <w:trHeight w:val="92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минимальное значение амплитуды импульса по предсердному каналу, В</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Для снижения кровотока при проведении процедуры миниинвазивной имплантации аортального клапана.</w:t>
            </w:r>
          </w:p>
        </w:tc>
      </w:tr>
      <w:tr>
        <w:trPr>
          <w:trHeight w:val="922"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максимальное значение амплитуды импульса по предсердному каналу, В</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Большее минимальное программируемое значение амплитуды провоцирует более быстрое истощение батареи устройства при наличии минимальных порогов стимуляции у пациента</w:t>
            </w:r>
          </w:p>
        </w:tc>
      </w:tr>
      <w:tr>
        <w:trPr>
          <w:trHeight w:val="92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минимальное значение амплитуды импульса по желудочковому каналу, В</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Меньшее максимальное программируемого значения амплитуды может не обеспечить эффективную стимуляцию при высоких порогах у пациента</w:t>
            </w:r>
          </w:p>
        </w:tc>
      </w:tr>
      <w:tr>
        <w:trPr>
          <w:trHeight w:val="92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максимальное значение амплитуды импульса по желудочковому каналу, В</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Большее минимальное программируемое значение амплитуды провоцирует более быстрое истощение батареи устройства при наличии минимальных порогов стимуляции у пациента</w:t>
            </w:r>
          </w:p>
        </w:tc>
      </w:tr>
      <w:tr>
        <w:trPr>
          <w:trHeight w:val="92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минимальное значение длительности импульса, мс</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Меньшее максимальное программируемого значения амплитуды может не обеспечить эффективную стимуляцию при высоких порогах у пациента</w:t>
            </w:r>
          </w:p>
        </w:tc>
      </w:tr>
      <w:tr>
        <w:trPr>
          <w:trHeight w:val="926"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максимальное значение длительности импульса, мс</w:t>
            </w:r>
          </w:p>
        </w:tc>
        <w:tc>
          <w:tcPr>
            <w:tcBorders>
              <w:top w:val="single" w:sz="4"/>
              <w:left w:val="single" w:sz="4"/>
              <w:bottom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pPr>
            <w:r>
              <w:rPr>
                <w:rStyle w:val="CharStyle22"/>
              </w:rPr>
              <w:t>Большее минимальное программируемое значение длительности импульса провоцирует более быстрое истощение батареи устройства при наличии минимальных порогов стимуляции у пациента</w:t>
            </w:r>
          </w:p>
        </w:tc>
      </w:tr>
    </w:tbl>
    <w:p>
      <w:pPr>
        <w:widowControl w:val="0"/>
        <w:spacing w:line="1" w:lineRule="exact"/>
      </w:pPr>
      <w:r>
        <w:br w:type="page"/>
      </w:r>
    </w:p>
    <w:tbl>
      <w:tblPr>
        <w:tblOverlap w:val="never"/>
        <w:jc w:val="center"/>
        <w:tblLayout w:type="fixed"/>
      </w:tblPr>
      <w:tblGrid>
        <w:gridCol w:w="1608"/>
        <w:gridCol w:w="2266"/>
        <w:gridCol w:w="6562"/>
      </w:tblGrid>
      <w:tr>
        <w:trPr>
          <w:trHeight w:val="922" w:hRule="exact"/>
        </w:trPr>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минимальное значение чувствительности по обоим каналам, мВ</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Меньшее максимальное программируемого значения длительности импульса может не обеспечить эффективную стимуляцию при высоких порогах у пациента</w:t>
            </w:r>
          </w:p>
        </w:tc>
      </w:tr>
      <w:tr>
        <w:trPr>
          <w:trHeight w:val="92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максимальное значение чувствительности по обоим каналам, мВ</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Большее минимальное программируемое значение чувствительности может привести к гипосенсингу</w:t>
            </w:r>
          </w:p>
        </w:tc>
      </w:tr>
      <w:tr>
        <w:trPr>
          <w:trHeight w:val="69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Алгоритмы минимизации желудочковой стимуляции</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Меньшее максимальное программируемое значение чувствительности может привести к оверсенсингу</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Диагностика ФП и ТП</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Для пролонгации расчетного срока службы устройства и исключения структурных изменений в сердце пациента</w:t>
            </w:r>
          </w:p>
        </w:tc>
      </w:tr>
      <w:tr>
        <w:trPr>
          <w:trHeight w:val="69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Помощник по подбору параметров программы устройства</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Для своевременной диагностики наджелудочковых тахикардий с целью коррекции\назначения антиаритмической и антикоагулянтной терапии</w:t>
            </w:r>
          </w:p>
        </w:tc>
      </w:tr>
      <w:tr>
        <w:trPr>
          <w:trHeight w:val="1157"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МРТ-совместимость с возможностью проведения полного сканирования тела в томографах </w:t>
            </w:r>
            <w:r>
              <w:rPr>
                <w:rStyle w:val="CharStyle22"/>
                <w:lang w:val="en-US" w:eastAsia="en-US"/>
              </w:rPr>
              <w:t xml:space="preserve">1.5 </w:t>
            </w:r>
            <w:r>
              <w:rPr>
                <w:rStyle w:val="CharStyle22"/>
              </w:rPr>
              <w:t xml:space="preserve">и </w:t>
            </w:r>
            <w:r>
              <w:rPr>
                <w:rStyle w:val="CharStyle22"/>
                <w:lang w:val="en-US" w:eastAsia="en-US"/>
              </w:rPr>
              <w:t xml:space="preserve">3 </w:t>
            </w:r>
            <w:r>
              <w:rPr>
                <w:rStyle w:val="CharStyle22"/>
              </w:rPr>
              <w:t>Тесла</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Для оперативного подбора требуемых параметров постоянной программы в зависимости от диагноза пациента</w:t>
            </w:r>
          </w:p>
        </w:tc>
      </w:tr>
      <w:tr>
        <w:trPr>
          <w:trHeight w:val="1157" w:hRule="exact"/>
        </w:trPr>
        <w:tc>
          <w:tcPr>
            <w:vMerge w:val="restart"/>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26.60.14.110</w:t>
              <w:softHyphen/>
              <w:t xml:space="preserve">00004 </w:t>
            </w:r>
            <w:r>
              <w:rPr>
                <w:rStyle w:val="CharStyle22"/>
              </w:rPr>
              <w:t xml:space="preserve">(ОКПД2 </w:t>
            </w:r>
            <w:r>
              <w:rPr>
                <w:rStyle w:val="CharStyle22"/>
                <w:lang w:val="en-US" w:eastAsia="en-US"/>
              </w:rPr>
              <w:t xml:space="preserve">26.60.14.110, </w:t>
            </w:r>
            <w:r>
              <w:rPr>
                <w:rStyle w:val="CharStyle22"/>
              </w:rPr>
              <w:t xml:space="preserve">НКМИ </w:t>
            </w:r>
            <w:r>
              <w:rPr>
                <w:rStyle w:val="CharStyle22"/>
                <w:lang w:val="en-US" w:eastAsia="en-US"/>
              </w:rPr>
              <w:t xml:space="preserve">334640) </w:t>
            </w:r>
            <w:r>
              <w:rPr>
                <w:rStyle w:val="CharStyle22"/>
              </w:rPr>
              <w:t>Электрокардиост имулятор имплантируемый однокамерный, частотно</w:t>
              <w:softHyphen/>
              <w:t>адаптивный*</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Электрокардиостимулято р должен поддерживать следующие режимы: </w:t>
            </w:r>
            <w:r>
              <w:rPr>
                <w:rStyle w:val="CharStyle22"/>
                <w:lang w:val="en-US" w:eastAsia="en-US"/>
              </w:rPr>
              <w:t>VVIR; AAIR; A00; VVI; AAI; A00R; V00; V00R</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Для обеспечения функциональной возможности со стороны имплантированного устройства корректировать любой тип нарушения ритма сердца.</w:t>
            </w:r>
          </w:p>
        </w:tc>
      </w:tr>
      <w:tr>
        <w:trPr>
          <w:trHeight w:val="1157"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максимальное значение базовой частоты, уд/мин</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В качестве альтернативы провокационным фармакологическим пробам и стресс-тестам для диагностики ишемической болезни сердца или оценки эффективности принимаемой пациентом антиишемической медикаментозной терапии.</w:t>
            </w:r>
          </w:p>
          <w:p>
            <w:pPr>
              <w:pStyle w:val="Style21"/>
              <w:keepNext w:val="0"/>
              <w:keepLines w:val="0"/>
              <w:widowControl w:val="0"/>
              <w:shd w:val="clear" w:color="auto" w:fill="auto"/>
              <w:bidi w:val="0"/>
              <w:spacing w:before="0" w:after="0" w:line="240" w:lineRule="auto"/>
              <w:ind w:left="0" w:right="0" w:firstLine="0"/>
              <w:jc w:val="left"/>
            </w:pPr>
            <w:r>
              <w:rPr>
                <w:rStyle w:val="CharStyle22"/>
              </w:rPr>
              <w:t>Для снижения кровотока при проведении процед</w:t>
            </w:r>
          </w:p>
        </w:tc>
      </w:tr>
      <w:tr>
        <w:trPr>
          <w:trHeight w:val="69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минимальное значение амплитуды импульса, В</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Большее минимальное программируемое значение амплитуды провоцирует более быстрое истощение батареи устройства при наличии минимальных порогов стимуляции у пациента</w:t>
            </w:r>
          </w:p>
        </w:tc>
      </w:tr>
      <w:tr>
        <w:trPr>
          <w:trHeight w:val="69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максимальное значение амплитуды импульса, В</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Меньшее максимальное программируемого значения амплитуды может не обеспечить эффективную стимуляцию при высоких порогах у пациента</w:t>
            </w:r>
          </w:p>
        </w:tc>
      </w:tr>
      <w:tr>
        <w:trPr>
          <w:trHeight w:val="926"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минимальное значение длительности импульса, мс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Большее минимальное программируемое значение длительности импульса провоцирует более быстрое истощение батареи устройства при наличии минимальных порогов стимуляции у пациента</w:t>
            </w:r>
          </w:p>
        </w:tc>
      </w:tr>
      <w:tr>
        <w:trPr>
          <w:trHeight w:val="926"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максимальное значение длительности импульса, мс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Меньшее максимальное программируемого значения длительности импульса может не обеспечить эффективную стимуляцию при высоких порогах у пациента</w:t>
            </w:r>
          </w:p>
        </w:tc>
      </w:tr>
      <w:tr>
        <w:trPr>
          <w:trHeight w:val="69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минимальное значение чувствительности,мВ</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Большее минимальное программируемое значение чувствительности может привести к гипосенсингу</w:t>
            </w:r>
          </w:p>
        </w:tc>
      </w:tr>
      <w:tr>
        <w:trPr>
          <w:trHeight w:val="69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Программируемое максимальное значение чувствительности, мВ</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Меньшее максимальное программируемое значение чувствительности может привести к оверсенсингу</w:t>
            </w:r>
          </w:p>
        </w:tc>
      </w:tr>
      <w:tr>
        <w:trPr>
          <w:trHeight w:val="69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Помощник по подбору параметров программы устройства</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Для оперативного подбора требуемых параметров постоянной программы в зависимости от диагноза пациента</w:t>
            </w:r>
          </w:p>
        </w:tc>
      </w:tr>
      <w:tr>
        <w:trPr>
          <w:trHeight w:val="931"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МРТ-совместимость с возможностью проведения полного сканирования тела в</w:t>
            </w:r>
          </w:p>
        </w:tc>
        <w:tc>
          <w:tcPr>
            <w:tcBorders>
              <w:top w:val="single" w:sz="4"/>
              <w:left w:val="single" w:sz="4"/>
              <w:bottom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pPr>
            <w:r>
              <w:rPr>
                <w:rStyle w:val="CharStyle22"/>
              </w:rPr>
              <w:t>Возможность проведения диагностического исследования пациенту после имплантации системы электрокардиостимуляции</w:t>
            </w:r>
          </w:p>
        </w:tc>
      </w:tr>
    </w:tbl>
    <w:p>
      <w:pPr>
        <w:widowControl w:val="0"/>
        <w:spacing w:line="1" w:lineRule="exact"/>
      </w:pPr>
      <w:r>
        <w:br w:type="page"/>
      </w:r>
    </w:p>
    <w:tbl>
      <w:tblPr>
        <w:tblOverlap w:val="never"/>
        <w:jc w:val="center"/>
        <w:tblLayout w:type="fixed"/>
      </w:tblPr>
      <w:tblGrid>
        <w:gridCol w:w="1608"/>
        <w:gridCol w:w="2266"/>
        <w:gridCol w:w="6562"/>
      </w:tblGrid>
      <w:tr>
        <w:trPr>
          <w:trHeight w:val="23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томографах </w:t>
            </w:r>
            <w:r>
              <w:rPr>
                <w:rStyle w:val="CharStyle22"/>
                <w:lang w:val="en-US" w:eastAsia="en-US"/>
              </w:rPr>
              <w:t xml:space="preserve">1.5 </w:t>
            </w:r>
            <w:r>
              <w:rPr>
                <w:rStyle w:val="CharStyle22"/>
              </w:rPr>
              <w:t xml:space="preserve">и </w:t>
            </w:r>
            <w:r>
              <w:rPr>
                <w:rStyle w:val="CharStyle22"/>
                <w:lang w:val="en-US" w:eastAsia="en-US"/>
              </w:rPr>
              <w:t xml:space="preserve">3 </w:t>
            </w:r>
            <w:r>
              <w:rPr>
                <w:rStyle w:val="CharStyle22"/>
              </w:rPr>
              <w:t>Тесла</w:t>
            </w:r>
          </w:p>
        </w:tc>
        <w:tc>
          <w:tcPr>
            <w:tcBorders>
              <w:top w:val="single" w:sz="4"/>
              <w:left w:val="single" w:sz="4"/>
              <w:right w:val="single" w:sz="4"/>
            </w:tcBorders>
            <w:shd w:val="clear" w:color="auto" w:fill="auto"/>
            <w:vAlign w:val="top"/>
          </w:tcPr>
          <w:p>
            <w:pPr>
              <w:widowControl w:val="0"/>
              <w:rPr>
                <w:sz w:val="10"/>
                <w:szCs w:val="10"/>
              </w:rPr>
            </w:pPr>
          </w:p>
        </w:tc>
      </w:tr>
      <w:tr>
        <w:trPr>
          <w:trHeight w:val="696" w:hRule="exact"/>
        </w:trPr>
        <w:tc>
          <w:tcPr>
            <w:vMerge w:val="restart"/>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26.60.14.110</w:t>
              <w:softHyphen/>
              <w:t xml:space="preserve">00000033 </w:t>
            </w:r>
            <w:r>
              <w:rPr>
                <w:rStyle w:val="CharStyle22"/>
              </w:rPr>
              <w:t xml:space="preserve">(ОКПД2 </w:t>
            </w:r>
            <w:r>
              <w:rPr>
                <w:rStyle w:val="CharStyle22"/>
                <w:lang w:val="en-US" w:eastAsia="en-US"/>
              </w:rPr>
              <w:t xml:space="preserve">26.60.14.110, </w:t>
            </w:r>
            <w:r>
              <w:rPr>
                <w:rStyle w:val="CharStyle22"/>
              </w:rPr>
              <w:t xml:space="preserve">НКМИ </w:t>
            </w:r>
            <w:r>
              <w:rPr>
                <w:rStyle w:val="CharStyle22"/>
                <w:lang w:val="en-US" w:eastAsia="en-US"/>
              </w:rPr>
              <w:t>335270)</w:t>
            </w:r>
          </w:p>
          <w:p>
            <w:pPr>
              <w:pStyle w:val="Style21"/>
              <w:keepNext w:val="0"/>
              <w:keepLines w:val="0"/>
              <w:widowControl w:val="0"/>
              <w:shd w:val="clear" w:color="auto" w:fill="auto"/>
              <w:bidi w:val="0"/>
              <w:spacing w:before="0" w:after="0" w:line="240" w:lineRule="auto"/>
              <w:ind w:left="0" w:right="0" w:firstLine="0"/>
              <w:jc w:val="center"/>
            </w:pPr>
            <w:r>
              <w:rPr>
                <w:rStyle w:val="CharStyle22"/>
              </w:rPr>
              <w:t>Отведение электрокардиости мулятора эндокардиальное, МРТ совместимое*</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Длина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инимальная длина стимулирующего отведения, необходимая для достижения полости правого предсердия сердца от места имплантации электрокардиостимулятора</w:t>
            </w:r>
          </w:p>
        </w:tc>
      </w:tr>
      <w:tr>
        <w:trPr>
          <w:trHeight w:val="69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Тип фиксации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Для обеспечения надежности фиксации дистальной части электрода в выбранной зоне и минимизации рисков дислокаций в послеоперационном периоде</w:t>
            </w:r>
          </w:p>
        </w:tc>
      </w:tr>
      <w:tr>
        <w:trPr>
          <w:trHeight w:val="69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Максимальный внешний диаметр, </w:t>
            </w:r>
            <w:r>
              <w:rPr>
                <w:rStyle w:val="CharStyle22"/>
                <w:lang w:val="en-US" w:eastAsia="en-US"/>
              </w:rPr>
              <w:t>Fr</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Данное значение диаметра обеспечивает оптимальное соотношение прочности конструкции отведения с минимальным риском окклюзии просвета сосуда, по которому проводится отведение к сердцу.</w:t>
            </w:r>
          </w:p>
        </w:tc>
      </w:tr>
      <w:tr>
        <w:trPr>
          <w:trHeight w:val="69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Материал изоляции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Силикон обеспечивает низкий коэффициент трения и повышенную устойчивость к внешним механическим воздействиям, минимизируя риск повреждения конструкции отведения на протяжении всего срока службы.</w:t>
            </w:r>
          </w:p>
        </w:tc>
      </w:tr>
      <w:tr>
        <w:trPr>
          <w:trHeight w:val="696" w:hRule="exact"/>
        </w:trPr>
        <w:tc>
          <w:tcPr>
            <w:vMerge w:val="restart"/>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26.60.14.110</w:t>
              <w:softHyphen/>
              <w:t xml:space="preserve">00000033 </w:t>
            </w:r>
            <w:r>
              <w:rPr>
                <w:rStyle w:val="CharStyle22"/>
              </w:rPr>
              <w:t xml:space="preserve">(ОКПД2 </w:t>
            </w:r>
            <w:r>
              <w:rPr>
                <w:rStyle w:val="CharStyle22"/>
                <w:lang w:val="en-US" w:eastAsia="en-US"/>
              </w:rPr>
              <w:t xml:space="preserve">26.60.14.110, </w:t>
            </w:r>
            <w:r>
              <w:rPr>
                <w:rStyle w:val="CharStyle22"/>
              </w:rPr>
              <w:t xml:space="preserve">НКМИ </w:t>
            </w:r>
            <w:r>
              <w:rPr>
                <w:rStyle w:val="CharStyle22"/>
                <w:lang w:val="en-US" w:eastAsia="en-US"/>
              </w:rPr>
              <w:t>335270)</w:t>
            </w:r>
          </w:p>
          <w:p>
            <w:pPr>
              <w:pStyle w:val="Style21"/>
              <w:keepNext w:val="0"/>
              <w:keepLines w:val="0"/>
              <w:widowControl w:val="0"/>
              <w:shd w:val="clear" w:color="auto" w:fill="auto"/>
              <w:bidi w:val="0"/>
              <w:spacing w:before="0" w:after="0" w:line="240" w:lineRule="auto"/>
              <w:ind w:left="0" w:right="0" w:firstLine="0"/>
              <w:jc w:val="center"/>
            </w:pPr>
            <w:r>
              <w:rPr>
                <w:rStyle w:val="CharStyle22"/>
              </w:rPr>
              <w:t>Отведение электрокардиости мулятора эндокардиальное, МРТ совместимое*</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Длина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Минимальная длина стимулирующего отведения, необходимая для достижения полости правого желудочка сердца от места имплантации электрокардиостимулятора</w:t>
            </w:r>
          </w:p>
        </w:tc>
      </w:tr>
      <w:tr>
        <w:trPr>
          <w:trHeight w:val="69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Тип фиксации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Для обеспечения надежности фиксации дистальной части электрода в выбранной зоне и минимизации рисков дислокаций в послеоперационном периоде</w:t>
            </w:r>
          </w:p>
        </w:tc>
      </w:tr>
      <w:tr>
        <w:trPr>
          <w:trHeight w:val="69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Максимальный внешний диаметр, </w:t>
            </w:r>
            <w:r>
              <w:rPr>
                <w:rStyle w:val="CharStyle22"/>
                <w:lang w:val="en-US" w:eastAsia="en-US"/>
              </w:rPr>
              <w:t>Fr</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Данное значение диаметра обеспечивает оптимальное соотношение прочности конструкции отведения с минимальным риском окклюзии просвета сосуда, по которому проводится отведение к сердцу.</w:t>
            </w:r>
          </w:p>
        </w:tc>
      </w:tr>
      <w:tr>
        <w:trPr>
          <w:trHeight w:val="69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Материал изоляции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Силикон обеспечивает низкий коэффициент трения и повышенную устойчивость к внешним механическим воздействиям, минимизируя риск повреждения конструкции отведения на протяжении всего срока службы.</w:t>
            </w:r>
          </w:p>
        </w:tc>
      </w:tr>
      <w:tr>
        <w:trPr>
          <w:trHeight w:val="922" w:hRule="exact"/>
        </w:trPr>
        <w:tc>
          <w:tcPr>
            <w:vMerge w:val="restart"/>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26.60.14.110</w:t>
              <w:softHyphen/>
              <w:t xml:space="preserve">00005 </w:t>
            </w:r>
            <w:r>
              <w:rPr>
                <w:rStyle w:val="CharStyle22"/>
              </w:rPr>
              <w:t xml:space="preserve">(ОКПД2 </w:t>
            </w:r>
            <w:r>
              <w:rPr>
                <w:rStyle w:val="CharStyle22"/>
                <w:lang w:val="en-US" w:eastAsia="en-US"/>
              </w:rPr>
              <w:t xml:space="preserve">26.60.14.110, </w:t>
            </w:r>
            <w:r>
              <w:rPr>
                <w:rStyle w:val="CharStyle22"/>
              </w:rPr>
              <w:t xml:space="preserve">НКМИ </w:t>
            </w:r>
            <w:r>
              <w:rPr>
                <w:rStyle w:val="CharStyle22"/>
                <w:lang w:val="en-US" w:eastAsia="en-US"/>
              </w:rPr>
              <w:t xml:space="preserve">210180) </w:t>
            </w:r>
            <w:r>
              <w:rPr>
                <w:rStyle w:val="CharStyle22"/>
              </w:rPr>
              <w:t>Электрокардиост имулятор имплантируемый однокамерный, частотно</w:t>
              <w:softHyphen/>
              <w:t>адаптивный*</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Режимы стимуляции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Необходимый минимальный выбор для настройки режимов в зависимости от потребностей организма пациента и рабочего состояния системы, а также для временного выключения стимулятора с целью проведения каких- либо манипуляций (операций, физиотерапевтических проц</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Нижняя граница частоты стимуляции, имп./мин</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возможности выбора настроек базовой частоты в зависимости от индивидуальных потребностей пациента</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Верхняя граница частоты стимуляции, имп./мин</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возможности выбора настроек базовой частоты в зависимости от индивидуальных потребностей пациента</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Шаг частоты стимуляции, имп./мин</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возможности выбора настроек базовой частоты в зависимости от индивидуальных потребностей пациента</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Нижняя граница гистерезиса, мс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настроить значение гистерезиса для сохранения спонтанного ритма, если он присутствует.</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Верхняя граница гистерезиса, мс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настроить значение гистерезиса для сохранения спонтанного ритма, если он присутствует.</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Шаг гистерезиса, мс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настроить значение гистерезиса для сохранения спонтанного ритма, если он присутствует.</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Поиск собственной активности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максимально сохранить собственный сердечный ритм в сложных клинических случаях.</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Тип электрода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Позволяет настроить различную полярность стимуляции </w:t>
            </w:r>
            <w:r>
              <w:rPr>
                <w:rStyle w:val="CharStyle22"/>
                <w:lang w:val="en-US" w:eastAsia="en-US"/>
              </w:rPr>
              <w:t xml:space="preserve">/ </w:t>
            </w:r>
            <w:r>
              <w:rPr>
                <w:rStyle w:val="CharStyle22"/>
              </w:rPr>
              <w:t>детекции в разных клинических случаях</w:t>
            </w:r>
          </w:p>
        </w:tc>
      </w:tr>
      <w:tr>
        <w:trPr>
          <w:trHeight w:val="69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Вид стимуляции/детекции (восприятия)</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Позволяет настроить различную полярность стимуляции </w:t>
            </w:r>
            <w:r>
              <w:rPr>
                <w:rStyle w:val="CharStyle22"/>
                <w:lang w:val="en-US" w:eastAsia="en-US"/>
              </w:rPr>
              <w:t xml:space="preserve">/ </w:t>
            </w:r>
            <w:r>
              <w:rPr>
                <w:rStyle w:val="CharStyle22"/>
              </w:rPr>
              <w:t>детекции в разных клинических случаях</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Адаптация</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Обеспечивает возможность точной настройки частотной адаптации для конкретного пациента.</w:t>
            </w:r>
          </w:p>
        </w:tc>
      </w:tr>
      <w:tr>
        <w:trPr>
          <w:trHeight w:val="696"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rPr>
              <w:t>Верхняя граница максимальной сенсорной частоты, имп/мин</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настроить максимальную сенсорную частоту во избежание электростимуляции с более высокой частотой чем требуется</w:t>
            </w:r>
          </w:p>
        </w:tc>
      </w:tr>
      <w:tr>
        <w:trPr>
          <w:trHeight w:val="691"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rPr>
              <w:t>Шаг максимальной сенсорной частоты, имп/мин</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настроить максимальную сенсорную частоту во избежание электростимуляции с более высокой частотой чем требуется</w:t>
            </w:r>
          </w:p>
        </w:tc>
      </w:tr>
      <w:tr>
        <w:trPr>
          <w:trHeight w:val="470"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Нижняя граница коэффициента адаптации</w:t>
            </w:r>
          </w:p>
        </w:tc>
        <w:tc>
          <w:tcPr>
            <w:tcBorders>
              <w:top w:val="single" w:sz="4"/>
              <w:left w:val="single" w:sz="4"/>
              <w:bottom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Обеспечивает возможность точной настройки частотной адаптации для конкретного пациента.</w:t>
            </w:r>
          </w:p>
        </w:tc>
      </w:tr>
    </w:tbl>
    <w:p>
      <w:pPr>
        <w:widowControl w:val="0"/>
        <w:spacing w:line="1" w:lineRule="exact"/>
      </w:pPr>
      <w:r>
        <w:br w:type="page"/>
      </w:r>
    </w:p>
    <w:tbl>
      <w:tblPr>
        <w:tblOverlap w:val="never"/>
        <w:jc w:val="center"/>
        <w:tblLayout w:type="fixed"/>
      </w:tblPr>
      <w:tblGrid>
        <w:gridCol w:w="1608"/>
        <w:gridCol w:w="2266"/>
        <w:gridCol w:w="6562"/>
      </w:tblGrid>
      <w:tr>
        <w:trPr>
          <w:trHeight w:val="461" w:hRule="exact"/>
        </w:trPr>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Верхняя граница коэффициента адаптации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Обеспечивает возможность точной настройки частотной адаптации для конкретного пациента.</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Шаг коэффициента адаптации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Обеспечивает возможность точной настройки частотной адаптации для конкретного пациента.</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Экстренный режим</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 для немедленного восстановления сердцебиение, если у пациента которого произошла остановка ритма или критический сбой.</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Нижняя граница режима «Варио», В</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Минимальная необходимый уровень для определения порога стимуляции</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Верхняя граница режима «Варио», В</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Максимальный необходимый уровень для определения порога стимуляции</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Тип разъёма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Стандарт коннекторного разъёма для имплантируемых электрокардиостимуляторов и имплантируемых электродов.</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Источник тока, А*ч</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От емкости батареи напрямую зависит срок службы ЭКС, больше емкость больше срок службы</w:t>
            </w:r>
          </w:p>
        </w:tc>
      </w:tr>
      <w:tr>
        <w:trPr>
          <w:trHeight w:val="461" w:hRule="exact"/>
        </w:trPr>
        <w:tc>
          <w:tcPr>
            <w:vMerge w:val="restart"/>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26.60.14.110</w:t>
              <w:softHyphen/>
              <w:t xml:space="preserve">00000044 </w:t>
            </w:r>
            <w:r>
              <w:rPr>
                <w:rStyle w:val="CharStyle22"/>
              </w:rPr>
              <w:t xml:space="preserve">(ОКПД2 </w:t>
            </w:r>
            <w:r>
              <w:rPr>
                <w:rStyle w:val="CharStyle22"/>
                <w:lang w:val="en-US" w:eastAsia="en-US"/>
              </w:rPr>
              <w:t xml:space="preserve">26.60.14.110, </w:t>
            </w:r>
            <w:r>
              <w:rPr>
                <w:rStyle w:val="CharStyle22"/>
              </w:rPr>
              <w:t xml:space="preserve">НКМИ </w:t>
            </w:r>
            <w:r>
              <w:rPr>
                <w:rStyle w:val="CharStyle22"/>
                <w:lang w:val="en-US" w:eastAsia="en-US"/>
              </w:rPr>
              <w:t xml:space="preserve">139070) </w:t>
            </w:r>
            <w:r>
              <w:rPr>
                <w:rStyle w:val="CharStyle22"/>
              </w:rPr>
              <w:t>Электрокардиост имулятор имплантируемый двухкамерный, частотно</w:t>
              <w:softHyphen/>
              <w:t>адаптивный*</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Тип: </w:t>
            </w:r>
            <w:r>
              <w:rPr>
                <w:rStyle w:val="CharStyle22"/>
                <w:lang w:val="en-US" w:eastAsia="en-US"/>
              </w:rPr>
              <w:t>DDDR</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Для настройки двухкамерных режимов в зависимости от потребностей организма пациента и рабочего состояния системы</w:t>
            </w:r>
          </w:p>
        </w:tc>
      </w:tr>
      <w:tr>
        <w:trPr>
          <w:trHeight w:val="696"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Объем</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формирования небольшого ложа стимулятора во время имплантации и удобства пациента после имплантации электрокардиостимулятора</w:t>
            </w:r>
          </w:p>
        </w:tc>
      </w:tr>
      <w:tr>
        <w:trPr>
          <w:trHeight w:val="696"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Вес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формирования небольшого ложа стимулятора во время имплантации и удобства пациента после имплантации электрокардиостимулятора</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Частотная адаптация</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Нужна для того, чтобы увеличивать частоту стимуляции сердца пропорционально потребностям организма.</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rPr>
              <w:t>Стандартный режим, имп/мин</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Нужен для обеспечения фиксированной частоты стимуляции.</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Основная частота стимуляции, имп/мин</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поддержания ритма сердца</w:t>
            </w:r>
          </w:p>
        </w:tc>
      </w:tr>
      <w:tr>
        <w:trPr>
          <w:trHeight w:val="69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Основная частота стимуляции -шаг, имп/мин</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более точно настроить частоту стимуляции</w:t>
            </w:r>
          </w:p>
        </w:tc>
      </w:tr>
      <w:tr>
        <w:trPr>
          <w:trHeight w:val="696"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Максимальная частота синхронизации, имп/мин</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Для обеспечения синхронной стимуляции желудочков и предсердий. Этот параметр позволяет устройству формировать импульсы стимуляции синхронно с естественной электрической активностью сердца</w:t>
            </w:r>
          </w:p>
        </w:tc>
      </w:tr>
      <w:tr>
        <w:trPr>
          <w:trHeight w:val="691"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Максимальная частота синхронизации </w:t>
            </w:r>
            <w:r>
              <w:rPr>
                <w:rStyle w:val="CharStyle22"/>
                <w:lang w:val="en-US" w:eastAsia="en-US"/>
              </w:rPr>
              <w:t xml:space="preserve">- </w:t>
            </w:r>
            <w:r>
              <w:rPr>
                <w:rStyle w:val="CharStyle22"/>
              </w:rPr>
              <w:t>шаг, имп/мин</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более точно настроить чистоту синхронизации</w:t>
            </w:r>
          </w:p>
        </w:tc>
      </w:tr>
      <w:tr>
        <w:trPr>
          <w:trHeight w:val="696"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Длительность импульсов </w:t>
            </w:r>
            <w:r>
              <w:rPr>
                <w:rStyle w:val="CharStyle22"/>
                <w:lang w:val="en-US" w:eastAsia="en-US"/>
              </w:rPr>
              <w:t xml:space="preserve">(A </w:t>
            </w:r>
            <w:r>
              <w:rPr>
                <w:rStyle w:val="CharStyle22"/>
              </w:rPr>
              <w:t xml:space="preserve">и </w:t>
            </w:r>
            <w:r>
              <w:rPr>
                <w:rStyle w:val="CharStyle22"/>
                <w:lang w:val="en-US" w:eastAsia="en-US"/>
              </w:rPr>
              <w:t xml:space="preserve">V), </w:t>
            </w:r>
            <w:r>
              <w:rPr>
                <w:rStyle w:val="CharStyle22"/>
              </w:rPr>
              <w:t>мс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Обеспечение минимально необходимой максимальной длительности импульса. Гарантированная стимуляция в случае увеличения порога стимуляции.</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Рефрактерный период </w:t>
            </w:r>
            <w:r>
              <w:rPr>
                <w:rStyle w:val="CharStyle22"/>
                <w:lang w:val="en-US" w:eastAsia="en-US"/>
              </w:rPr>
              <w:t xml:space="preserve">(A </w:t>
            </w:r>
            <w:r>
              <w:rPr>
                <w:rStyle w:val="CharStyle22"/>
              </w:rPr>
              <w:t xml:space="preserve">и </w:t>
            </w:r>
            <w:r>
              <w:rPr>
                <w:rStyle w:val="CharStyle22"/>
                <w:lang w:val="en-US" w:eastAsia="en-US"/>
              </w:rPr>
              <w:t xml:space="preserve">V), </w:t>
            </w:r>
            <w:r>
              <w:rPr>
                <w:rStyle w:val="CharStyle22"/>
              </w:rPr>
              <w:t>мс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Нужен для обеспечения нормальной деятельности сердца</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Рефрактерный период </w:t>
            </w:r>
            <w:r>
              <w:rPr>
                <w:rStyle w:val="CharStyle22"/>
                <w:lang w:val="en-US" w:eastAsia="en-US"/>
              </w:rPr>
              <w:t xml:space="preserve">(A </w:t>
            </w:r>
            <w:r>
              <w:rPr>
                <w:rStyle w:val="CharStyle22"/>
              </w:rPr>
              <w:t xml:space="preserve">и </w:t>
            </w:r>
            <w:r>
              <w:rPr>
                <w:rStyle w:val="CharStyle22"/>
                <w:lang w:val="en-US" w:eastAsia="en-US"/>
              </w:rPr>
              <w:t xml:space="preserve">V) - </w:t>
            </w:r>
            <w:r>
              <w:rPr>
                <w:rStyle w:val="CharStyle22"/>
              </w:rPr>
              <w:t>шаг, мс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более точно настроить рефрактерный переод</w:t>
            </w:r>
          </w:p>
        </w:tc>
      </w:tr>
      <w:tr>
        <w:trPr>
          <w:trHeight w:val="466"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 xml:space="preserve">AV </w:t>
            </w:r>
            <w:r>
              <w:rPr>
                <w:rStyle w:val="CharStyle22"/>
              </w:rPr>
              <w:t>задержка(диапазон), мс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Нужна для координации сокращения предсердий и желудочков</w:t>
            </w:r>
          </w:p>
        </w:tc>
      </w:tr>
      <w:tr>
        <w:trPr>
          <w:trHeight w:val="230"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 xml:space="preserve">AV </w:t>
            </w:r>
            <w:r>
              <w:rPr>
                <w:rStyle w:val="CharStyle22"/>
              </w:rPr>
              <w:t xml:space="preserve">задержка </w:t>
            </w:r>
            <w:r>
              <w:rPr>
                <w:rStyle w:val="CharStyle22"/>
                <w:lang w:val="en-US" w:eastAsia="en-US"/>
              </w:rPr>
              <w:t xml:space="preserve">- </w:t>
            </w:r>
            <w:r>
              <w:rPr>
                <w:rStyle w:val="CharStyle22"/>
              </w:rPr>
              <w:t>шаг, мс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более точно настроить функцию</w:t>
            </w:r>
          </w:p>
        </w:tc>
      </w:tr>
      <w:tr>
        <w:trPr>
          <w:trHeight w:val="69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Слепой период предсердий(диапазон), мс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Нужен для предотвращения восприятия предсердным каналом стимула, нанесенного на желудочек, и начинается с момента нанесения стимулирующего импульса на желудочек.</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Тип батареи литий</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Для обеспечения электрической энергии, которая необходима для работы устройств.</w:t>
            </w:r>
          </w:p>
        </w:tc>
      </w:tr>
      <w:tr>
        <w:trPr>
          <w:trHeight w:val="461"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Емкость батареи, А.Ч</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От емкости батареи напрямую зависит срок службы ЭКС, больше емкость больше срок службы</w:t>
            </w:r>
          </w:p>
        </w:tc>
      </w:tr>
      <w:tr>
        <w:trPr>
          <w:trHeight w:val="696"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Возможность записи всех сессий в общую базу данных</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pPr>
            <w:r>
              <w:rPr>
                <w:rStyle w:val="CharStyle22"/>
              </w:rPr>
              <w:t>Позволяет проводить более детальный анализ состояния пациента</w:t>
            </w:r>
          </w:p>
        </w:tc>
      </w:tr>
      <w:tr>
        <w:trPr>
          <w:trHeight w:val="235"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Стерильность</w:t>
            </w:r>
          </w:p>
        </w:tc>
        <w:tc>
          <w:tcPr>
            <w:tcBorders>
              <w:top w:val="single" w:sz="4"/>
              <w:left w:val="single" w:sz="4"/>
              <w:bottom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Нужна для обеспечения безопасности и эффективности обработки изделий.</w:t>
            </w:r>
          </w:p>
        </w:tc>
      </w:tr>
    </w:tbl>
    <w:p>
      <w:pPr>
        <w:widowControl w:val="0"/>
        <w:spacing w:line="1" w:lineRule="exact"/>
      </w:pPr>
      <w:r>
        <w:br w:type="page"/>
      </w:r>
    </w:p>
    <w:tbl>
      <w:tblPr>
        <w:tblOverlap w:val="never"/>
        <w:jc w:val="center"/>
        <w:tblLayout w:type="fixed"/>
      </w:tblPr>
      <w:tblGrid>
        <w:gridCol w:w="1608"/>
        <w:gridCol w:w="2266"/>
        <w:gridCol w:w="6562"/>
      </w:tblGrid>
      <w:tr>
        <w:trPr>
          <w:trHeight w:val="461" w:hRule="exact"/>
        </w:trPr>
        <w:tc>
          <w:tcPr>
            <w:vMerge w:val="restart"/>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lang w:val="en-US" w:eastAsia="en-US"/>
              </w:rPr>
              <w:t>26.60.14.110</w:t>
              <w:softHyphen/>
              <w:t xml:space="preserve">00000045 </w:t>
            </w:r>
            <w:r>
              <w:rPr>
                <w:rStyle w:val="CharStyle22"/>
              </w:rPr>
              <w:t xml:space="preserve">(ОКПД2 </w:t>
            </w:r>
            <w:r>
              <w:rPr>
                <w:rStyle w:val="CharStyle22"/>
                <w:lang w:val="en-US" w:eastAsia="en-US"/>
              </w:rPr>
              <w:t xml:space="preserve">26.60.14.110, </w:t>
            </w:r>
            <w:r>
              <w:rPr>
                <w:rStyle w:val="CharStyle22"/>
              </w:rPr>
              <w:t xml:space="preserve">НКМИ </w:t>
            </w:r>
            <w:r>
              <w:rPr>
                <w:rStyle w:val="CharStyle22"/>
                <w:lang w:val="en-US" w:eastAsia="en-US"/>
              </w:rPr>
              <w:t xml:space="preserve">210150) </w:t>
            </w:r>
            <w:r>
              <w:rPr>
                <w:rStyle w:val="CharStyle22"/>
              </w:rPr>
              <w:t>Кардиовертер- дефибриллятор имплантируемый однокамерный*</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Вес</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Обусловлен компромиссом между мощностью дефибрилляции, автономностью и удобством подкожного размещения.</w:t>
            </w:r>
          </w:p>
        </w:tc>
      </w:tr>
      <w:tr>
        <w:trPr>
          <w:trHeight w:val="46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Объем</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Необходимость разместить мощные компоненты, которые позволяют системе работать эффективно, не находясь внутри сердца.</w:t>
            </w:r>
          </w:p>
        </w:tc>
      </w:tr>
      <w:tr>
        <w:trPr>
          <w:trHeight w:val="922"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Батарея литий/диоксид марганца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Выбор химического состава литий/диоксид марганца </w:t>
            </w:r>
            <w:r>
              <w:rPr>
                <w:rStyle w:val="CharStyle22"/>
                <w:lang w:val="en-US" w:eastAsia="en-US"/>
              </w:rPr>
              <w:t xml:space="preserve">(Li/MnO₂) </w:t>
            </w:r>
            <w:r>
              <w:rPr>
                <w:rStyle w:val="CharStyle22"/>
              </w:rPr>
              <w:t xml:space="preserve">для батарей системы </w:t>
            </w:r>
            <w:r>
              <w:rPr>
                <w:rStyle w:val="CharStyle22"/>
                <w:lang w:val="en-US" w:eastAsia="en-US"/>
              </w:rPr>
              <w:t xml:space="preserve">EMBLEM S-ICD </w:t>
            </w:r>
            <w:r>
              <w:rPr>
                <w:rStyle w:val="CharStyle22"/>
              </w:rPr>
              <w:t>обусловлен спецификой работы дефибриллятора, которому нужно сочетать долгое ожидание и мгновенную отдачу мощного заряда.</w:t>
            </w:r>
          </w:p>
        </w:tc>
      </w:tr>
      <w:tr>
        <w:trPr>
          <w:trHeight w:val="69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Материал корпуса титан</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Титан обладаетуникальным сочетанием его физических и биологических свойств, которые критически важны для имплантируемых медицинских устройств</w:t>
            </w:r>
          </w:p>
        </w:tc>
      </w:tr>
      <w:tr>
        <w:trPr>
          <w:trHeight w:val="92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Стандарт коннектор</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Это специализированный стандарт, разработанный специально для технологии подкожной дефибрилляции преимущество которого: Высокое напряжение и ток, упрощение конструкции, защита от ошибок, Надежность в подкожной зоне</w:t>
            </w:r>
          </w:p>
        </w:tc>
      </w:tr>
      <w:tr>
        <w:trPr>
          <w:trHeight w:val="46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МРТ совместимость при </w:t>
            </w:r>
            <w:r>
              <w:rPr>
                <w:rStyle w:val="CharStyle22"/>
                <w:lang w:val="en-US" w:eastAsia="en-US"/>
              </w:rPr>
              <w:t xml:space="preserve">1,5 </w:t>
            </w:r>
            <w:r>
              <w:rPr>
                <w:rStyle w:val="CharStyle22"/>
              </w:rPr>
              <w:t>Тесла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Обусловлена конструктивными особенностями и наличием специального программного обеспечения</w:t>
            </w:r>
          </w:p>
        </w:tc>
      </w:tr>
      <w:tr>
        <w:trPr>
          <w:trHeight w:val="92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Режим МРТ совместимости с таймером отключения</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Функция безопасности, решающая проблему «человеческого фактора». А именно: Автоматическое возобновление защиты, Минимизация времени «беззащитности», Удобство для логистики клиники, Экономия ресурса батареи</w:t>
            </w:r>
          </w:p>
        </w:tc>
      </w:tr>
      <w:tr>
        <w:trPr>
          <w:trHeight w:val="46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180"/>
              <w:jc w:val="left"/>
            </w:pPr>
            <w:r>
              <w:rPr>
                <w:rStyle w:val="CharStyle22"/>
              </w:rPr>
              <w:t>Число зон тахикардии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 для гибкой настройки терапии и точного разделения ритмов, которые требуют шока, от тех, которые можно просто наблюдать</w:t>
            </w:r>
          </w:p>
        </w:tc>
      </w:tr>
      <w:tr>
        <w:trPr>
          <w:trHeight w:val="92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pPr>
            <w:r>
              <w:rPr>
                <w:rStyle w:val="CharStyle22"/>
              </w:rPr>
              <w:t>Алгоритмы снижения риска восприятия волны Т</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Необходимы из-за особенностей расположения электрода. В отличие от традиционных ИКД, где электрод находится внутри сердца, подкожный электрод «видит» более крупную и выраженную волну Т на ЭКГ. Если система ошибочно примет её за сокращение желудочков (зубе</w:t>
            </w:r>
          </w:p>
        </w:tc>
      </w:tr>
      <w:tr>
        <w:trPr>
          <w:trHeight w:val="69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Минимальная частота распознавания тахикардии, уд/мин</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Необходимостб баланса между безопасностью и спецификой подкожного распознавания ритма</w:t>
            </w:r>
          </w:p>
        </w:tc>
      </w:tr>
      <w:tr>
        <w:trPr>
          <w:trHeight w:val="46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Постшоковая стимуляция</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«Аварийная» мера на </w:t>
            </w:r>
            <w:r>
              <w:rPr>
                <w:rStyle w:val="CharStyle22"/>
                <w:lang w:val="en-US" w:eastAsia="en-US"/>
              </w:rPr>
              <w:t xml:space="preserve">30 </w:t>
            </w:r>
            <w:r>
              <w:rPr>
                <w:rStyle w:val="CharStyle22"/>
              </w:rPr>
              <w:t>секунд, чтобы помочь сердцу восстановиться сразу после дефибрилляции.</w:t>
            </w:r>
          </w:p>
        </w:tc>
      </w:tr>
      <w:tr>
        <w:trPr>
          <w:trHeight w:val="46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Количество векторов восприятия</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Обусловлено адаптацией системы к индивидуальной анатомии пациента и изменениям его положения.</w:t>
            </w:r>
          </w:p>
        </w:tc>
      </w:tr>
      <w:tr>
        <w:trPr>
          <w:trHeight w:val="1157"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Отсрочка терапии для обеспечения</w:t>
            </w:r>
          </w:p>
          <w:p>
            <w:pPr>
              <w:pStyle w:val="Style21"/>
              <w:keepNext w:val="0"/>
              <w:keepLines w:val="0"/>
              <w:widowControl w:val="0"/>
              <w:shd w:val="clear" w:color="auto" w:fill="auto"/>
              <w:bidi w:val="0"/>
              <w:spacing w:before="0" w:after="0" w:line="240" w:lineRule="auto"/>
              <w:ind w:left="0" w:right="0" w:firstLine="0"/>
              <w:jc w:val="left"/>
            </w:pPr>
            <w:r>
              <w:rPr>
                <w:rStyle w:val="CharStyle22"/>
              </w:rPr>
              <w:t>возможности</w:t>
            </w:r>
          </w:p>
          <w:p>
            <w:pPr>
              <w:pStyle w:val="Style21"/>
              <w:keepNext w:val="0"/>
              <w:keepLines w:val="0"/>
              <w:widowControl w:val="0"/>
              <w:shd w:val="clear" w:color="auto" w:fill="auto"/>
              <w:bidi w:val="0"/>
              <w:spacing w:before="0" w:after="0" w:line="240" w:lineRule="auto"/>
              <w:ind w:left="0" w:right="0" w:firstLine="0"/>
              <w:jc w:val="left"/>
            </w:pPr>
            <w:r>
              <w:rPr>
                <w:rStyle w:val="CharStyle22"/>
              </w:rPr>
              <w:t>спонтанного</w:t>
            </w:r>
          </w:p>
          <w:p>
            <w:pPr>
              <w:pStyle w:val="Style21"/>
              <w:keepNext w:val="0"/>
              <w:keepLines w:val="0"/>
              <w:widowControl w:val="0"/>
              <w:shd w:val="clear" w:color="auto" w:fill="auto"/>
              <w:bidi w:val="0"/>
              <w:spacing w:before="0" w:after="0" w:line="240" w:lineRule="auto"/>
              <w:ind w:left="0" w:right="0" w:firstLine="0"/>
              <w:jc w:val="left"/>
            </w:pPr>
            <w:r>
              <w:rPr>
                <w:rStyle w:val="CharStyle22"/>
              </w:rPr>
              <w:t>купирования эпизода</w:t>
            </w:r>
          </w:p>
        </w:tc>
        <w:tc>
          <w:tcPr>
            <w:tcBorders>
              <w:top w:val="single" w:sz="4"/>
              <w:left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Чтобы избежать нанесения разряда в случаях, когда аритмия может прекратиться сама собой</w:t>
            </w:r>
          </w:p>
        </w:tc>
      </w:tr>
      <w:tr>
        <w:trPr>
          <w:trHeight w:val="69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Энергия шока, </w:t>
            </w:r>
            <w:r>
              <w:rPr>
                <w:rStyle w:val="CharStyle22"/>
                <w:lang w:val="en-US" w:eastAsia="en-US"/>
              </w:rPr>
              <w:t>J</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Обусловлена следующими факторами: Преодоление сопротивления (импеданса), Гарантия эффективности, Универсальность, тсутствие программирования мощности</w:t>
            </w:r>
          </w:p>
        </w:tc>
      </w:tr>
      <w:tr>
        <w:trPr>
          <w:trHeight w:val="46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Количество шоков на эпизод</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Международный стандарт безопасности, основанным на клинической целесообразности.</w:t>
            </w:r>
          </w:p>
        </w:tc>
      </w:tr>
      <w:tr>
        <w:trPr>
          <w:trHeight w:val="466"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Функция нанесения шока вручную</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Предусмотрена для экстренных ситуаций, когда автоматические алгоритмы прибора по какой-то причине не инициируют терапию.</w:t>
            </w:r>
          </w:p>
        </w:tc>
      </w:tr>
      <w:tr>
        <w:trPr>
          <w:trHeight w:val="461"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Количество сохраненных эпизодов</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Оптимальный баланс между детальностью диагностики и энергоэффективностью устройства.</w:t>
            </w:r>
          </w:p>
        </w:tc>
      </w:tr>
      <w:tr>
        <w:trPr>
          <w:trHeight w:val="931" w:hRule="exact"/>
        </w:trPr>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pPr>
            <w:r>
              <w:rPr>
                <w:rStyle w:val="CharStyle22"/>
              </w:rPr>
              <w:t>Запись в память эпизодов тахиаритмии для последующего просмотра и анализа</w:t>
            </w:r>
          </w:p>
        </w:tc>
        <w:tc>
          <w:tcPr>
            <w:tcBorders>
              <w:top w:val="single" w:sz="4"/>
              <w:left w:val="single" w:sz="4"/>
              <w:bottom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pPr>
            <w:r>
              <w:rPr>
                <w:rStyle w:val="CharStyle22"/>
              </w:rPr>
              <w:t>Функция с помощью которой врач понимает насколько адекватно прибор реагирует на сердечный ритм конкретного пациента.</w:t>
            </w:r>
          </w:p>
        </w:tc>
      </w:tr>
    </w:tbl>
    <w:p>
      <w:pPr>
        <w:pStyle w:val="Style11"/>
        <w:keepNext w:val="0"/>
        <w:keepLines w:val="0"/>
        <w:widowControl w:val="0"/>
        <w:shd w:val="clear" w:color="auto" w:fill="auto"/>
        <w:bidi w:val="0"/>
        <w:spacing w:before="0" w:after="0" w:line="240" w:lineRule="auto"/>
        <w:ind w:left="0" w:right="0" w:firstLine="580"/>
        <w:jc w:val="left"/>
      </w:pPr>
      <w:r>
        <w:rPr>
          <w:rStyle w:val="CharStyle12"/>
        </w:rPr>
        <w:t>Комиссией установлено, что Заказчиком соблюдены требования к описанию</w:t>
      </w:r>
    </w:p>
    <w:p>
      <w:pPr>
        <w:pStyle w:val="Style11"/>
        <w:keepNext w:val="0"/>
        <w:keepLines w:val="0"/>
        <w:widowControl w:val="0"/>
        <w:shd w:val="clear" w:color="auto" w:fill="auto"/>
        <w:bidi w:val="0"/>
        <w:spacing w:before="0" w:after="0" w:line="240" w:lineRule="auto"/>
        <w:ind w:left="0" w:right="0" w:firstLine="0"/>
        <w:jc w:val="left"/>
      </w:pPr>
      <w:r>
        <w:rPr>
          <w:rStyle w:val="CharStyle12"/>
        </w:rPr>
        <w:t>объекта закупке в части применения характеристик по всем позициям.</w:t>
      </w:r>
    </w:p>
    <w:p>
      <w:pPr>
        <w:pStyle w:val="Style11"/>
        <w:keepNext w:val="0"/>
        <w:keepLines w:val="0"/>
        <w:widowControl w:val="0"/>
        <w:shd w:val="clear" w:color="auto" w:fill="auto"/>
        <w:bidi w:val="0"/>
        <w:spacing w:before="0" w:after="0" w:line="240" w:lineRule="auto"/>
        <w:ind w:left="0" w:right="0" w:firstLine="580"/>
        <w:jc w:val="left"/>
      </w:pPr>
      <w:r>
        <w:rPr>
          <w:rStyle w:val="CharStyle12"/>
        </w:rPr>
        <w:t>Следовательно, первый доводов жалобы признается необоснованным.</w:t>
      </w:r>
    </w:p>
    <w:p>
      <w:pPr>
        <w:pStyle w:val="Style11"/>
        <w:keepNext w:val="0"/>
        <w:keepLines w:val="0"/>
        <w:widowControl w:val="0"/>
        <w:numPr>
          <w:ilvl w:val="0"/>
          <w:numId w:val="5"/>
        </w:numPr>
        <w:shd w:val="clear" w:color="auto" w:fill="auto"/>
        <w:tabs>
          <w:tab w:pos="1454" w:val="left"/>
        </w:tabs>
        <w:bidi w:val="0"/>
        <w:spacing w:before="0" w:after="0" w:line="240" w:lineRule="auto"/>
        <w:ind w:left="0" w:right="0" w:firstLine="580"/>
        <w:jc w:val="left"/>
      </w:pPr>
      <w:r>
        <w:rPr>
          <w:rStyle w:val="CharStyle12"/>
        </w:rPr>
        <w:t>Согласно второму доводу: «Незаконны требования Лицензий и СРО на</w:t>
      </w:r>
    </w:p>
    <w:p>
      <w:pPr>
        <w:pStyle w:val="Style11"/>
        <w:keepNext w:val="0"/>
        <w:keepLines w:val="0"/>
        <w:widowControl w:val="0"/>
        <w:shd w:val="clear" w:color="auto" w:fill="auto"/>
        <w:bidi w:val="0"/>
        <w:spacing w:before="0" w:after="0" w:line="240" w:lineRule="auto"/>
        <w:ind w:left="0" w:right="0" w:firstLine="0"/>
        <w:jc w:val="both"/>
      </w:pPr>
      <w:r>
        <w:rPr>
          <w:rStyle w:val="CharStyle12"/>
        </w:rPr>
        <w:t>поставку медоборудования»</w:t>
      </w:r>
    </w:p>
    <w:p>
      <w:pPr>
        <w:pStyle w:val="Style11"/>
        <w:keepNext w:val="0"/>
        <w:keepLines w:val="0"/>
        <w:widowControl w:val="0"/>
        <w:shd w:val="clear" w:color="auto" w:fill="auto"/>
        <w:bidi w:val="0"/>
        <w:spacing w:before="0" w:after="0" w:line="240" w:lineRule="auto"/>
        <w:ind w:left="0" w:right="0" w:firstLine="580"/>
        <w:jc w:val="both"/>
      </w:pPr>
      <w:r>
        <w:rPr>
          <w:rStyle w:val="CharStyle12"/>
        </w:rPr>
        <w:t>Комиссией установлено, что Заказчик составе документации не установил требования Лицензий и СРО.</w:t>
      </w:r>
    </w:p>
    <w:p>
      <w:pPr>
        <w:pStyle w:val="Style11"/>
        <w:keepNext w:val="0"/>
        <w:keepLines w:val="0"/>
        <w:widowControl w:val="0"/>
        <w:shd w:val="clear" w:color="auto" w:fill="auto"/>
        <w:bidi w:val="0"/>
        <w:spacing w:before="0" w:after="0" w:line="240" w:lineRule="auto"/>
        <w:ind w:left="0" w:right="0" w:firstLine="580"/>
        <w:jc w:val="both"/>
      </w:pPr>
      <w:r>
        <w:rPr>
          <w:rStyle w:val="CharStyle12"/>
        </w:rPr>
        <w:t>Ввиду чего, второй довод жалобы признается необоснованным.</w:t>
      </w:r>
    </w:p>
    <w:p>
      <w:pPr>
        <w:pStyle w:val="Style11"/>
        <w:keepNext w:val="0"/>
        <w:keepLines w:val="0"/>
        <w:widowControl w:val="0"/>
        <w:numPr>
          <w:ilvl w:val="0"/>
          <w:numId w:val="5"/>
        </w:numPr>
        <w:shd w:val="clear" w:color="auto" w:fill="auto"/>
        <w:tabs>
          <w:tab w:pos="1002" w:val="left"/>
        </w:tabs>
        <w:bidi w:val="0"/>
        <w:spacing w:before="0" w:after="0" w:line="240" w:lineRule="auto"/>
        <w:ind w:left="0" w:right="0" w:firstLine="580"/>
        <w:jc w:val="both"/>
      </w:pPr>
      <w:r>
        <w:rPr>
          <w:rStyle w:val="CharStyle12"/>
        </w:rPr>
        <w:t>Третий довод жалобы: «Незаконно закупается товары с разными ОКПД и разных направлений и групп Приложений в одной процедуре».</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описанию объекта закупки, изложенному в структурированном виде, а также в виде приложенного файла 1_Приложение </w:t>
      </w:r>
      <w:r>
        <w:rPr>
          <w:rStyle w:val="CharStyle12"/>
          <w:lang w:val="en-US" w:eastAsia="en-US"/>
        </w:rPr>
        <w:t xml:space="preserve">1 </w:t>
      </w:r>
      <w:r>
        <w:rPr>
          <w:rStyle w:val="CharStyle12"/>
        </w:rPr>
        <w:t xml:space="preserve">(Описание объекта закупки)_Ц-5802 Заказчиком закупаются электрокардиостимуляторы, имплантируемые и медицинские изделия, необходимые для проведения манипуляции. Установлен единый код ОКПД </w:t>
      </w:r>
      <w:r>
        <w:rPr>
          <w:rStyle w:val="CharStyle12"/>
          <w:lang w:val="en-US" w:eastAsia="en-US"/>
        </w:rPr>
        <w:t>2 26.60.14.110.</w:t>
      </w:r>
    </w:p>
    <w:p>
      <w:pPr>
        <w:pStyle w:val="Style11"/>
        <w:keepNext w:val="0"/>
        <w:keepLines w:val="0"/>
        <w:widowControl w:val="0"/>
        <w:shd w:val="clear" w:color="auto" w:fill="auto"/>
        <w:bidi w:val="0"/>
        <w:spacing w:before="0" w:after="0" w:line="240" w:lineRule="auto"/>
        <w:ind w:left="0" w:right="0" w:firstLine="580"/>
        <w:jc w:val="both"/>
      </w:pPr>
      <w:r>
        <w:rPr>
          <w:rStyle w:val="CharStyle12"/>
        </w:rPr>
        <w:t>Таким образом, третий довод жалобы признается необоснованным.</w:t>
      </w:r>
    </w:p>
    <w:p>
      <w:pPr>
        <w:pStyle w:val="Style11"/>
        <w:keepNext w:val="0"/>
        <w:keepLines w:val="0"/>
        <w:widowControl w:val="0"/>
        <w:numPr>
          <w:ilvl w:val="0"/>
          <w:numId w:val="5"/>
        </w:numPr>
        <w:shd w:val="clear" w:color="auto" w:fill="auto"/>
        <w:tabs>
          <w:tab w:pos="992" w:val="left"/>
        </w:tabs>
        <w:bidi w:val="0"/>
        <w:spacing w:before="0" w:after="0" w:line="240" w:lineRule="auto"/>
        <w:ind w:left="0" w:right="0" w:firstLine="580"/>
        <w:jc w:val="both"/>
      </w:pPr>
      <w:r>
        <w:rPr>
          <w:rStyle w:val="CharStyle12"/>
        </w:rPr>
        <w:t>Относительно четвертого довода жалобы: «Незаконно указан Товарный знак единственного производителя и/или указание на конкретную модель единственного производителя» установлено следующее.</w:t>
      </w:r>
    </w:p>
    <w:p>
      <w:pPr>
        <w:pStyle w:val="Style11"/>
        <w:keepNext w:val="0"/>
        <w:keepLines w:val="0"/>
        <w:widowControl w:val="0"/>
        <w:shd w:val="clear" w:color="auto" w:fill="auto"/>
        <w:bidi w:val="0"/>
        <w:spacing w:before="0" w:after="0" w:line="240" w:lineRule="auto"/>
        <w:ind w:left="0" w:right="0" w:firstLine="580"/>
        <w:jc w:val="both"/>
      </w:pPr>
      <w:r>
        <w:rPr>
          <w:rStyle w:val="CharStyle12"/>
        </w:rPr>
        <w:t>Документация о закупке не содержит указаний на Товарный знак какого-либо производителя, отсутствует требование о применении совместимости с оборудованием определенного товарного знака.</w:t>
      </w:r>
    </w:p>
    <w:p>
      <w:pPr>
        <w:pStyle w:val="Style11"/>
        <w:keepNext w:val="0"/>
        <w:keepLines w:val="0"/>
        <w:widowControl w:val="0"/>
        <w:shd w:val="clear" w:color="auto" w:fill="auto"/>
        <w:bidi w:val="0"/>
        <w:spacing w:before="0" w:after="0" w:line="240" w:lineRule="auto"/>
        <w:ind w:left="0" w:right="0" w:firstLine="580"/>
        <w:jc w:val="both"/>
      </w:pPr>
      <w:r>
        <w:rPr>
          <w:rStyle w:val="CharStyle12"/>
        </w:rPr>
        <w:t>В своих пояснениях Заказчик также указывает на отсутствие указания на конкретные товарные знаки.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Таким образом, четвертый довод жалобы признается необоснованным.</w:t>
      </w:r>
    </w:p>
    <w:p>
      <w:pPr>
        <w:pStyle w:val="Style11"/>
        <w:keepNext w:val="0"/>
        <w:keepLines w:val="0"/>
        <w:widowControl w:val="0"/>
        <w:numPr>
          <w:ilvl w:val="0"/>
          <w:numId w:val="5"/>
        </w:numPr>
        <w:shd w:val="clear" w:color="auto" w:fill="auto"/>
        <w:tabs>
          <w:tab w:pos="987" w:val="left"/>
        </w:tabs>
        <w:bidi w:val="0"/>
        <w:spacing w:before="0" w:after="0" w:line="240" w:lineRule="auto"/>
        <w:ind w:left="0" w:right="0" w:firstLine="580"/>
        <w:jc w:val="both"/>
      </w:pPr>
      <w:r>
        <w:rPr>
          <w:rStyle w:val="CharStyle12"/>
        </w:rPr>
        <w:t>В пятом доводе жалобы Заявитель указывает: «Нарушены сроки и время окончания подачи заявок относительно размещения извещения».</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структурированной форме извещения дата и время начала срока подачи заявок </w:t>
      </w:r>
      <w:r>
        <w:rPr>
          <w:rStyle w:val="CharStyle12"/>
          <w:lang w:val="en-US" w:eastAsia="en-US"/>
        </w:rPr>
        <w:t xml:space="preserve">28.04.2026 09:39 </w:t>
      </w:r>
      <w:r>
        <w:rPr>
          <w:rStyle w:val="CharStyle12"/>
        </w:rPr>
        <w:t xml:space="preserve">(МСК), дата и время окончания срока подачи заявок </w:t>
      </w:r>
      <w:r>
        <w:rPr>
          <w:rStyle w:val="CharStyle12"/>
          <w:lang w:val="en-US" w:eastAsia="en-US"/>
        </w:rPr>
        <w:t xml:space="preserve">06.05.2026 08:00 </w:t>
      </w:r>
      <w:r>
        <w:rPr>
          <w:rStyle w:val="CharStyle12"/>
        </w:rPr>
        <w:t>(МСК).</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Таким образом, сроки электронного запроса котировок, установленные статьей </w:t>
      </w:r>
      <w:r>
        <w:rPr>
          <w:rStyle w:val="CharStyle12"/>
          <w:lang w:val="en-US" w:eastAsia="en-US"/>
        </w:rPr>
        <w:t xml:space="preserve">50 </w:t>
      </w:r>
      <w:r>
        <w:rPr>
          <w:rStyle w:val="CharStyle12"/>
        </w:rPr>
        <w:t>Закона о кон</w:t>
      </w:r>
    </w:p>
    <w:p>
      <w:pPr>
        <w:pStyle w:val="Style11"/>
        <w:keepNext w:val="0"/>
        <w:keepLines w:val="0"/>
        <w:widowControl w:val="0"/>
        <w:shd w:val="clear" w:color="auto" w:fill="auto"/>
        <w:bidi w:val="0"/>
        <w:spacing w:before="0" w:after="0" w:line="240" w:lineRule="auto"/>
        <w:ind w:left="0" w:right="0" w:firstLine="580"/>
        <w:jc w:val="both"/>
      </w:pPr>
      <w:r>
        <w:rPr>
          <w:rStyle w:val="CharStyle12"/>
        </w:rPr>
        <w:t>Следовательно, пятый довод жалобы признается необоснованным.</w:t>
      </w:r>
    </w:p>
    <w:p>
      <w:pPr>
        <w:pStyle w:val="Style11"/>
        <w:keepNext w:val="0"/>
        <w:keepLines w:val="0"/>
        <w:widowControl w:val="0"/>
        <w:numPr>
          <w:ilvl w:val="0"/>
          <w:numId w:val="5"/>
        </w:numPr>
        <w:shd w:val="clear" w:color="auto" w:fill="auto"/>
        <w:tabs>
          <w:tab w:pos="992" w:val="left"/>
        </w:tabs>
        <w:bidi w:val="0"/>
        <w:spacing w:before="0" w:after="0" w:line="240" w:lineRule="auto"/>
        <w:ind w:left="0" w:right="0" w:firstLine="580"/>
        <w:jc w:val="both"/>
      </w:pPr>
      <w:r>
        <w:rPr>
          <w:rStyle w:val="CharStyle12"/>
        </w:rPr>
        <w:t xml:space="preserve">Согласно шестому доводу жалобы: «Незаконны требования Заказчика: актирование, переписка, иные действия, связанные с исполнением контракта в сторонних программных продуктах кроме Единой Информационной Системы. </w:t>
      </w:r>
      <w:r>
        <w:rPr>
          <w:rStyle w:val="CharStyle12"/>
          <w:lang w:val="en-US" w:eastAsia="en-US"/>
        </w:rPr>
        <w:t xml:space="preserve">44- </w:t>
      </w:r>
      <w:r>
        <w:rPr>
          <w:rStyle w:val="CharStyle12"/>
        </w:rPr>
        <w:t>ФЗ предусмотрены все действия включая актирование, претензионную переписку, иные действия только в системе ЕИС. Данные требования и прикреплённые файлы во вкладке «Документы» Извещения Заказчика противоречат структурной части контракта и должны быть удалены».</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пункту </w:t>
      </w:r>
      <w:r>
        <w:rPr>
          <w:rStyle w:val="CharStyle12"/>
          <w:lang w:val="en-US" w:eastAsia="en-US"/>
        </w:rPr>
        <w:t xml:space="preserve">5.4 </w:t>
      </w:r>
      <w:r>
        <w:rPr>
          <w:rStyle w:val="CharStyle12"/>
        </w:rPr>
        <w:t xml:space="preserve">Проекта контракта, являющегося неотъемлемой частью документации при поставке Товара Поставщик формирует и подписывает структурированный документ о приемке в единой информационной системе в сфере закупок (далее </w:t>
      </w:r>
      <w:r>
        <w:rPr>
          <w:rStyle w:val="CharStyle12"/>
          <w:lang w:val="en-US" w:eastAsia="en-US"/>
        </w:rPr>
        <w:t xml:space="preserve">- </w:t>
      </w:r>
      <w:r>
        <w:rPr>
          <w:rStyle w:val="CharStyle12"/>
        </w:rPr>
        <w:t>структурированный документ о приемке) и направляет его Заказчику в единой информационной системе в сфере закупок с приложенными документами:</w:t>
      </w:r>
    </w:p>
    <w:p>
      <w:pPr>
        <w:pStyle w:val="Style11"/>
        <w:keepNext w:val="0"/>
        <w:keepLines w:val="0"/>
        <w:widowControl w:val="0"/>
        <w:numPr>
          <w:ilvl w:val="0"/>
          <w:numId w:val="7"/>
        </w:numPr>
        <w:shd w:val="clear" w:color="auto" w:fill="auto"/>
        <w:tabs>
          <w:tab w:pos="876" w:val="left"/>
        </w:tabs>
        <w:bidi w:val="0"/>
        <w:spacing w:before="0" w:after="0" w:line="240" w:lineRule="auto"/>
        <w:ind w:left="0" w:right="0" w:firstLine="580"/>
        <w:jc w:val="both"/>
      </w:pPr>
      <w:r>
        <w:rPr>
          <w:rStyle w:val="CharStyle12"/>
        </w:rPr>
        <w:t>товарная накладная;</w:t>
      </w:r>
    </w:p>
    <w:p>
      <w:pPr>
        <w:pStyle w:val="Style11"/>
        <w:keepNext w:val="0"/>
        <w:keepLines w:val="0"/>
        <w:widowControl w:val="0"/>
        <w:numPr>
          <w:ilvl w:val="0"/>
          <w:numId w:val="7"/>
        </w:numPr>
        <w:shd w:val="clear" w:color="auto" w:fill="auto"/>
        <w:tabs>
          <w:tab w:pos="876" w:val="left"/>
        </w:tabs>
        <w:bidi w:val="0"/>
        <w:spacing w:before="0" w:after="0" w:line="240" w:lineRule="auto"/>
        <w:ind w:left="0" w:right="0" w:firstLine="580"/>
        <w:jc w:val="both"/>
      </w:pPr>
      <w:r>
        <w:rPr>
          <w:rStyle w:val="CharStyle12"/>
        </w:rPr>
        <w:t>копия регистрационного удостоверения;</w:t>
      </w:r>
    </w:p>
    <w:p>
      <w:pPr>
        <w:pStyle w:val="Style11"/>
        <w:keepNext w:val="0"/>
        <w:keepLines w:val="0"/>
        <w:widowControl w:val="0"/>
        <w:numPr>
          <w:ilvl w:val="0"/>
          <w:numId w:val="7"/>
        </w:numPr>
        <w:shd w:val="clear" w:color="auto" w:fill="auto"/>
        <w:tabs>
          <w:tab w:pos="910" w:val="left"/>
        </w:tabs>
        <w:bidi w:val="0"/>
        <w:spacing w:before="0" w:after="0" w:line="240" w:lineRule="auto"/>
        <w:ind w:left="0" w:right="0" w:firstLine="580"/>
        <w:jc w:val="both"/>
      </w:pPr>
      <w:r>
        <w:rPr>
          <w:rStyle w:val="CharStyle12"/>
        </w:rPr>
        <w:t>техническая и (или) эксплуатационная документация производителя (изготовителя) на русском языке;</w:t>
      </w:r>
    </w:p>
    <w:p>
      <w:pPr>
        <w:pStyle w:val="Style11"/>
        <w:keepNext w:val="0"/>
        <w:keepLines w:val="0"/>
        <w:widowControl w:val="0"/>
        <w:numPr>
          <w:ilvl w:val="0"/>
          <w:numId w:val="7"/>
        </w:numPr>
        <w:shd w:val="clear" w:color="auto" w:fill="auto"/>
        <w:tabs>
          <w:tab w:pos="910" w:val="left"/>
        </w:tabs>
        <w:bidi w:val="0"/>
        <w:spacing w:before="0" w:after="0" w:line="240" w:lineRule="auto"/>
        <w:ind w:left="0" w:right="0" w:firstLine="580"/>
        <w:jc w:val="both"/>
      </w:pPr>
      <w:r>
        <w:rPr>
          <w:rStyle w:val="CharStyle12"/>
        </w:rPr>
        <w:t>гарантия производителя (если предметом контракта является Товар, принадлежности к нему, запасные части и/или инструменты, аппараты);</w:t>
      </w:r>
    </w:p>
    <w:p>
      <w:pPr>
        <w:pStyle w:val="Style11"/>
        <w:keepNext w:val="0"/>
        <w:keepLines w:val="0"/>
        <w:widowControl w:val="0"/>
        <w:numPr>
          <w:ilvl w:val="0"/>
          <w:numId w:val="7"/>
        </w:numPr>
        <w:shd w:val="clear" w:color="auto" w:fill="auto"/>
        <w:tabs>
          <w:tab w:pos="910" w:val="left"/>
        </w:tabs>
        <w:bidi w:val="0"/>
        <w:spacing w:before="0" w:after="0" w:line="240" w:lineRule="auto"/>
        <w:ind w:left="0" w:right="0" w:firstLine="580"/>
        <w:jc w:val="both"/>
      </w:pPr>
      <w:r>
        <w:rPr>
          <w:rStyle w:val="CharStyle12"/>
        </w:rPr>
        <w:t>гарантия Поставщика (если предметом контракта является Товар, принадлежности к нему, запасные части и/или инструменты, аппараты);</w:t>
      </w:r>
    </w:p>
    <w:p>
      <w:pPr>
        <w:pStyle w:val="Style11"/>
        <w:keepNext w:val="0"/>
        <w:keepLines w:val="0"/>
        <w:widowControl w:val="0"/>
        <w:numPr>
          <w:ilvl w:val="0"/>
          <w:numId w:val="7"/>
        </w:numPr>
        <w:shd w:val="clear" w:color="auto" w:fill="auto"/>
        <w:tabs>
          <w:tab w:pos="876" w:val="left"/>
        </w:tabs>
        <w:bidi w:val="0"/>
        <w:spacing w:before="0" w:after="0" w:line="240" w:lineRule="auto"/>
        <w:ind w:left="0" w:right="0" w:firstLine="580"/>
        <w:jc w:val="both"/>
      </w:pPr>
      <w:r>
        <w:rPr>
          <w:rStyle w:val="CharStyle12"/>
        </w:rPr>
        <w:t>копия документа о соответствии.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Иного ни документация, ни проект контракта не содержат.</w:t>
      </w:r>
    </w:p>
    <w:p>
      <w:pPr>
        <w:pStyle w:val="Style11"/>
        <w:keepNext w:val="0"/>
        <w:keepLines w:val="0"/>
        <w:widowControl w:val="0"/>
        <w:shd w:val="clear" w:color="auto" w:fill="auto"/>
        <w:bidi w:val="0"/>
        <w:spacing w:before="0" w:after="0" w:line="240" w:lineRule="auto"/>
        <w:ind w:left="0" w:right="0" w:firstLine="580"/>
        <w:jc w:val="both"/>
      </w:pPr>
      <w:r>
        <w:rPr>
          <w:rStyle w:val="CharStyle12"/>
        </w:rPr>
        <w:t>Следовательно, шестой довод жалобы признается необоснованным.</w:t>
      </w:r>
    </w:p>
    <w:p>
      <w:pPr>
        <w:pStyle w:val="Style11"/>
        <w:keepNext w:val="0"/>
        <w:keepLines w:val="0"/>
        <w:widowControl w:val="0"/>
        <w:numPr>
          <w:ilvl w:val="0"/>
          <w:numId w:val="5"/>
        </w:numPr>
        <w:shd w:val="clear" w:color="auto" w:fill="auto"/>
        <w:tabs>
          <w:tab w:pos="992" w:val="left"/>
        </w:tabs>
        <w:bidi w:val="0"/>
        <w:spacing w:before="0" w:after="0" w:line="240" w:lineRule="auto"/>
        <w:ind w:left="0" w:right="0" w:firstLine="580"/>
        <w:jc w:val="both"/>
      </w:pPr>
      <w:r>
        <w:rPr>
          <w:rStyle w:val="CharStyle12"/>
        </w:rPr>
        <w:t xml:space="preserve">Седьмым доводом Заявитель указывает: «Заказчик не установил ограничения по ПП </w:t>
      </w:r>
      <w:r>
        <w:rPr>
          <w:rStyle w:val="CharStyle12"/>
          <w:lang w:val="en-US" w:eastAsia="en-US"/>
        </w:rPr>
        <w:t xml:space="preserve">878 </w:t>
      </w:r>
      <w:r>
        <w:rPr>
          <w:rStyle w:val="CharStyle12"/>
        </w:rPr>
        <w:t xml:space="preserve">и </w:t>
      </w:r>
      <w:r>
        <w:rPr>
          <w:rStyle w:val="CharStyle12"/>
          <w:lang w:val="en-US" w:eastAsia="en-US"/>
        </w:rPr>
        <w:t>126».</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Комиссия Нижегородского УФАС России указывает, что приказ Минфина России от </w:t>
      </w:r>
      <w:r>
        <w:rPr>
          <w:rStyle w:val="CharStyle12"/>
          <w:lang w:val="en-US" w:eastAsia="en-US"/>
        </w:rPr>
        <w:t xml:space="preserve">04.06.2018 </w:t>
      </w:r>
      <w:r>
        <w:rPr>
          <w:rStyle w:val="CharStyle12"/>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утратил силу с </w:t>
      </w:r>
      <w:r>
        <w:rPr>
          <w:rStyle w:val="CharStyle12"/>
          <w:lang w:val="en-US" w:eastAsia="en-US"/>
        </w:rPr>
        <w:t xml:space="preserve">1 </w:t>
      </w:r>
      <w:r>
        <w:rPr>
          <w:rStyle w:val="CharStyle12"/>
        </w:rPr>
        <w:t xml:space="preserve">января </w:t>
      </w:r>
      <w:r>
        <w:rPr>
          <w:rStyle w:val="CharStyle12"/>
          <w:lang w:val="en-US" w:eastAsia="en-US"/>
        </w:rPr>
        <w:t xml:space="preserve">2025 </w:t>
      </w:r>
      <w:r>
        <w:rPr>
          <w:rStyle w:val="CharStyle12"/>
        </w:rPr>
        <w:t xml:space="preserve">года в связи с изданием Приказа Минфина России от </w:t>
      </w:r>
      <w:r>
        <w:rPr>
          <w:rStyle w:val="CharStyle12"/>
          <w:lang w:val="en-US" w:eastAsia="en-US"/>
        </w:rPr>
        <w:t xml:space="preserve">08.10.2024 № </w:t>
      </w:r>
      <w:r>
        <w:rPr>
          <w:rStyle w:val="CharStyle12"/>
        </w:rPr>
        <w:t>149н.</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Также постановление Правительства РФ от </w:t>
      </w:r>
      <w:r>
        <w:rPr>
          <w:rStyle w:val="CharStyle12"/>
          <w:lang w:val="en-US" w:eastAsia="en-US"/>
        </w:rPr>
        <w:t xml:space="preserve">10.07.2019 №878 </w:t>
      </w:r>
      <w:r>
        <w:rPr>
          <w:rStyle w:val="CharStyle12"/>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2"/>
          <w:lang w:val="en-US" w:eastAsia="en-US"/>
        </w:rPr>
        <w:t xml:space="preserve">16 </w:t>
      </w:r>
      <w:r>
        <w:rPr>
          <w:rStyle w:val="CharStyle12"/>
        </w:rPr>
        <w:t xml:space="preserve">сентября </w:t>
      </w:r>
      <w:r>
        <w:rPr>
          <w:rStyle w:val="CharStyle12"/>
          <w:lang w:val="en-US" w:eastAsia="en-US"/>
        </w:rPr>
        <w:t xml:space="preserve">2016 </w:t>
      </w:r>
      <w:r>
        <w:rPr>
          <w:rStyle w:val="CharStyle12"/>
        </w:rPr>
        <w:t xml:space="preserve">г. </w:t>
      </w:r>
      <w:r>
        <w:rPr>
          <w:rStyle w:val="CharStyle12"/>
          <w:lang w:val="en-US" w:eastAsia="en-US"/>
        </w:rPr>
        <w:t xml:space="preserve">№ 925 </w:t>
      </w:r>
      <w:r>
        <w:rPr>
          <w:rStyle w:val="CharStyle12"/>
        </w:rPr>
        <w:t xml:space="preserve">и признании утратившими силу некоторых актов Правительства Российской Федерации" не применяется в связи с применением постановления Правительства РФ от </w:t>
      </w:r>
      <w:r>
        <w:rPr>
          <w:rStyle w:val="CharStyle12"/>
          <w:lang w:val="en-US" w:eastAsia="en-US"/>
        </w:rPr>
        <w:t xml:space="preserve">23.12.2024 №1875 </w:t>
      </w:r>
      <w:r>
        <w:rPr>
          <w:rStyle w:val="CharStyle12"/>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pPr>
        <w:pStyle w:val="Style11"/>
        <w:keepNext w:val="0"/>
        <w:keepLines w:val="0"/>
        <w:widowControl w:val="0"/>
        <w:shd w:val="clear" w:color="auto" w:fill="auto"/>
        <w:bidi w:val="0"/>
        <w:spacing w:before="0" w:after="0" w:line="240" w:lineRule="auto"/>
        <w:ind w:left="0" w:right="0" w:firstLine="580"/>
        <w:jc w:val="both"/>
      </w:pPr>
      <w:r>
        <w:rPr>
          <w:rStyle w:val="CharStyle12"/>
        </w:rPr>
        <w:t>Довод жалобы признан необоснованным.</w:t>
      </w:r>
    </w:p>
    <w:p>
      <w:pPr>
        <w:pStyle w:val="Style11"/>
        <w:keepNext w:val="0"/>
        <w:keepLines w:val="0"/>
        <w:widowControl w:val="0"/>
        <w:numPr>
          <w:ilvl w:val="0"/>
          <w:numId w:val="5"/>
        </w:numPr>
        <w:shd w:val="clear" w:color="auto" w:fill="auto"/>
        <w:tabs>
          <w:tab w:pos="987" w:val="left"/>
        </w:tabs>
        <w:bidi w:val="0"/>
        <w:spacing w:before="0" w:after="0" w:line="240" w:lineRule="auto"/>
        <w:ind w:left="0" w:right="0" w:firstLine="580"/>
        <w:jc w:val="both"/>
      </w:pPr>
      <w:r>
        <w:rPr>
          <w:rStyle w:val="CharStyle12"/>
        </w:rPr>
        <w:t xml:space="preserve">Согласно восьмому доводу жалобы: «Заказчик установил (не применил) ограничения допуска по Постановлению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Структурированная форма извещения в разделе «Применение национального режима по ст. </w:t>
      </w:r>
      <w:r>
        <w:rPr>
          <w:rStyle w:val="CharStyle12"/>
          <w:lang w:val="en-US" w:eastAsia="en-US"/>
        </w:rPr>
        <w:t xml:space="preserve">14 </w:t>
      </w:r>
      <w:r>
        <w:rPr>
          <w:rStyle w:val="CharStyle12"/>
        </w:rPr>
        <w:t xml:space="preserve">Закона </w:t>
      </w:r>
      <w:r>
        <w:rPr>
          <w:rStyle w:val="CharStyle12"/>
          <w:lang w:val="en-US" w:eastAsia="en-US"/>
        </w:rPr>
        <w:t xml:space="preserve">№ </w:t>
      </w:r>
      <w:r>
        <w:rPr>
          <w:rStyle w:val="CharStyle12"/>
        </w:rPr>
        <w:t>44-ФЗ» изложена следующим образом:</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Применение национального режима по ст. </w:t>
      </w:r>
      <w:r>
        <w:rPr>
          <w:rStyle w:val="CharStyle12"/>
          <w:lang w:val="en-US" w:eastAsia="en-US"/>
        </w:rPr>
        <w:t xml:space="preserve">14 </w:t>
      </w:r>
      <w:r>
        <w:rPr>
          <w:rStyle w:val="CharStyle12"/>
        </w:rPr>
        <w:t xml:space="preserve">Закона </w:t>
      </w:r>
      <w:r>
        <w:rPr>
          <w:rStyle w:val="CharStyle12"/>
          <w:lang w:val="en-US" w:eastAsia="en-US"/>
        </w:rPr>
        <w:t xml:space="preserve">№ </w:t>
      </w:r>
      <w:r>
        <w:rPr>
          <w:rStyle w:val="CharStyle12"/>
        </w:rPr>
        <w:t>44-ФЗ.</w:t>
      </w:r>
    </w:p>
    <w:p>
      <w:pPr>
        <w:pStyle w:val="Style11"/>
        <w:keepNext w:val="0"/>
        <w:keepLines w:val="0"/>
        <w:widowControl w:val="0"/>
        <w:shd w:val="clear" w:color="auto" w:fill="auto"/>
        <w:bidi w:val="0"/>
        <w:spacing w:before="0" w:after="0" w:line="240" w:lineRule="auto"/>
        <w:ind w:left="0" w:right="0" w:firstLine="580"/>
        <w:jc w:val="both"/>
      </w:pPr>
      <w:r>
        <w:rPr>
          <w:rStyle w:val="CharStyle12"/>
        </w:rPr>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 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мерах по предоставлению национального режима от </w:t>
      </w:r>
      <w:r>
        <w:rPr>
          <w:rStyle w:val="CharStyle12"/>
          <w:lang w:val="en-US" w:eastAsia="en-US"/>
        </w:rPr>
        <w:t>23.12.2024 № 1875.</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Как указывалось выше (Таблица </w:t>
      </w:r>
      <w:r>
        <w:rPr>
          <w:rStyle w:val="CharStyle12"/>
          <w:lang w:val="en-US" w:eastAsia="en-US"/>
        </w:rPr>
        <w:t xml:space="preserve">1) </w:t>
      </w:r>
      <w:r>
        <w:rPr>
          <w:rStyle w:val="CharStyle12"/>
        </w:rPr>
        <w:t xml:space="preserve">Заказчиком применен код ОКПД </w:t>
      </w:r>
      <w:r>
        <w:rPr>
          <w:rStyle w:val="CharStyle12"/>
          <w:lang w:val="en-US" w:eastAsia="en-US"/>
        </w:rPr>
        <w:t xml:space="preserve">2 26.60.12.132, </w:t>
      </w:r>
      <w:r>
        <w:rPr>
          <w:rStyle w:val="CharStyle12"/>
        </w:rPr>
        <w:t xml:space="preserve">который не соответствует позиции </w:t>
      </w:r>
      <w:r>
        <w:rPr>
          <w:rStyle w:val="CharStyle12"/>
          <w:lang w:val="en-US" w:eastAsia="en-US"/>
        </w:rPr>
        <w:t xml:space="preserve">314 </w:t>
      </w:r>
      <w:r>
        <w:rPr>
          <w:rStyle w:val="CharStyle12"/>
        </w:rPr>
        <w:t xml:space="preserve">Приложения </w:t>
      </w:r>
      <w:r>
        <w:rPr>
          <w:rStyle w:val="CharStyle12"/>
          <w:lang w:val="en-US" w:eastAsia="en-US"/>
        </w:rPr>
        <w:t xml:space="preserve">№2 </w:t>
      </w:r>
      <w:r>
        <w:rPr>
          <w:rStyle w:val="CharStyle12"/>
        </w:rPr>
        <w:t xml:space="preserve">к постановлению Правительства РФ от </w:t>
      </w:r>
      <w:r>
        <w:rPr>
          <w:rStyle w:val="CharStyle12"/>
          <w:lang w:val="en-US" w:eastAsia="en-US"/>
        </w:rPr>
        <w:t xml:space="preserve">23.12.2024 №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580"/>
        <w:jc w:val="both"/>
      </w:pPr>
      <w:r>
        <w:rPr>
          <w:rStyle w:val="CharStyle12"/>
        </w:rPr>
        <w:t>Следовательно, Заказчиком правомерно не применено ограничение, запрет.</w:t>
      </w:r>
    </w:p>
    <w:p>
      <w:pPr>
        <w:pStyle w:val="Style11"/>
        <w:keepNext w:val="0"/>
        <w:keepLines w:val="0"/>
        <w:widowControl w:val="0"/>
        <w:shd w:val="clear" w:color="auto" w:fill="auto"/>
        <w:bidi w:val="0"/>
        <w:spacing w:before="0" w:after="0" w:line="240" w:lineRule="auto"/>
        <w:ind w:left="0" w:right="0" w:firstLine="580"/>
        <w:jc w:val="both"/>
      </w:pPr>
      <w:r>
        <w:rPr>
          <w:rStyle w:val="CharStyle12"/>
        </w:rPr>
        <w:t>Восьмой довод жалобы признается необоснованным.</w:t>
      </w:r>
    </w:p>
    <w:p>
      <w:pPr>
        <w:pStyle w:val="Style11"/>
        <w:keepNext w:val="0"/>
        <w:keepLines w:val="0"/>
        <w:widowControl w:val="0"/>
        <w:numPr>
          <w:ilvl w:val="0"/>
          <w:numId w:val="5"/>
        </w:numPr>
        <w:shd w:val="clear" w:color="auto" w:fill="auto"/>
        <w:tabs>
          <w:tab w:pos="954" w:val="left"/>
        </w:tabs>
        <w:bidi w:val="0"/>
        <w:spacing w:before="0" w:after="0" w:line="240" w:lineRule="auto"/>
        <w:ind w:left="0" w:right="0" w:firstLine="580"/>
        <w:jc w:val="both"/>
      </w:pPr>
      <w:r>
        <w:rPr>
          <w:rStyle w:val="CharStyle12"/>
        </w:rPr>
        <w:t>Девятый, десятый доводы жалобы сводятся к отсутствию в Реестре радиоэлектронной продукции, продукции с характеристиками, указанными Заказчиком.</w:t>
      </w:r>
    </w:p>
    <w:p>
      <w:pPr>
        <w:pStyle w:val="Style11"/>
        <w:keepNext w:val="0"/>
        <w:keepLines w:val="0"/>
        <w:widowControl w:val="0"/>
        <w:shd w:val="clear" w:color="auto" w:fill="auto"/>
        <w:bidi w:val="0"/>
        <w:spacing w:before="0" w:after="0" w:line="240" w:lineRule="auto"/>
        <w:ind w:left="0" w:right="0" w:firstLine="580"/>
        <w:jc w:val="both"/>
      </w:pPr>
      <w:r>
        <w:rPr>
          <w:rStyle w:val="CharStyle12"/>
        </w:rPr>
        <w:t>Приводится перечень изготовителей, по мнению Заявителя, чьи изделия в полной мере отвечают требованиям Заказчика, однако характеристики данных изделий не учтены при формировании описания объекта закупки.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Также указанные доводы сводятся к ограничению конкуренции ввиду невозможности поставки товара с иными характеристиками.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Как указывалось ранее в рамках закупочной процедуры требуется к поставке «Электрокардиостимулятор имплантируемый однокамерный, частотно</w:t>
        <w:softHyphen/>
        <w:t>адаптивный».</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пояснениям Заказчика: «По описанию, это код вида медицинского изделия </w:t>
      </w:r>
      <w:r>
        <w:rPr>
          <w:rStyle w:val="CharStyle12"/>
          <w:lang w:val="en-US" w:eastAsia="en-US"/>
        </w:rPr>
        <w:t xml:space="preserve">№ 334640 </w:t>
      </w:r>
      <w:r>
        <w:rPr>
          <w:rStyle w:val="CharStyle12"/>
        </w:rPr>
        <w:t>в соответствии с номенклатурной классификацией медицинских изделий, утвержденной Министерством здравоохранения Российской Федерации имеет наименование: Электрокардиостимулятор имплантируемый однокамерный, частотно-адаптивный и описание «Стерильное устройство, работающее от батарей, состоящее из герметично закрытого генератора импульсов, имплантированного под кожу в области грудной клетки в хирургически созданном кармане, со стимулирующим отведением внутри или на одной из камер сердца (правом предсердии или желудочке). Оно предназначено для создания и проведения электрических импульсов к нездоровому сердцу для регулирования частоты сокращений для удовлетворения возросших потребностей организма в кровотоке из- за физической активности. Оно содержит один или несколько датчиков для обнаружения изменений в организме (например, движения, частоты дыхания), показывающих, когда требуется больше кислорода, а затем увеличивает частоту стимуляций; оно не предназначено для дефибрилляционной терапии. Конструкция изделия позволяет проводить МРТ исследования безопасно для пациента».</w:t>
      </w:r>
    </w:p>
    <w:p>
      <w:pPr>
        <w:pStyle w:val="Style11"/>
        <w:keepNext w:val="0"/>
        <w:keepLines w:val="0"/>
        <w:widowControl w:val="0"/>
        <w:shd w:val="clear" w:color="auto" w:fill="auto"/>
        <w:bidi w:val="0"/>
        <w:spacing w:before="0" w:after="0" w:line="240" w:lineRule="auto"/>
        <w:ind w:left="0" w:right="0" w:firstLine="580"/>
        <w:jc w:val="both"/>
      </w:pPr>
      <w:r>
        <w:rPr>
          <w:rStyle w:val="CharStyle12"/>
        </w:rPr>
        <w:t>Инспекция отмечает, что такое описание объекта закупки содержит КТРУ.</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На сайте Федеральной службы по надзору в сфере здравоохранения </w:t>
      </w:r>
      <w:r>
        <w:rPr>
          <w:rStyle w:val="CharStyle12"/>
          <w:lang w:val="en-US" w:eastAsia="en-US"/>
        </w:rPr>
        <w:t>https://roszdrav№adzor.gov.ru/</w:t>
      </w:r>
      <w:r>
        <w:rPr>
          <w:rStyle w:val="CharStyle12"/>
          <w:lang w:val="en-US" w:eastAsia="en-US"/>
        </w:rPr>
        <w:t xml:space="preserve"> </w:t>
      </w:r>
      <w:r>
        <w:rPr>
          <w:rStyle w:val="CharStyle12"/>
        </w:rPr>
        <w:t xml:space="preserve">под кодом </w:t>
      </w:r>
      <w:r>
        <w:rPr>
          <w:rStyle w:val="CharStyle12"/>
          <w:lang w:val="en-US" w:eastAsia="en-US"/>
        </w:rPr>
        <w:t xml:space="preserve">№334640 </w:t>
      </w:r>
      <w:r>
        <w:rPr>
          <w:rStyle w:val="CharStyle12"/>
        </w:rPr>
        <w:t>зарегистрировано несколько производителей данного вида медицинского изделия, но нет ни одного изделия российского производства, что соответственно, приводит к тому, что истребуемый к</w:t>
      </w:r>
    </w:p>
    <w:p>
      <w:pPr>
        <w:pStyle w:val="Style11"/>
        <w:keepNext w:val="0"/>
        <w:keepLines w:val="0"/>
        <w:widowControl w:val="0"/>
        <w:shd w:val="clear" w:color="auto" w:fill="auto"/>
        <w:bidi w:val="0"/>
        <w:spacing w:before="0" w:after="0" w:line="240" w:lineRule="auto"/>
        <w:ind w:left="0" w:right="0" w:firstLine="0"/>
        <w:jc w:val="both"/>
      </w:pPr>
      <w:r>
        <w:rPr>
          <w:rStyle w:val="CharStyle12"/>
        </w:rPr>
        <w:t>поставке Заказчиком «Электрокардиостимулятор имплантируемый однокамерный, частотно-адаптивный» отсутствует в Реестре радиоэлектронной продкуции.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Также в письменных пояснениях Заказчик обращает внимание, что «Приведенные заявителем производители АО "НИПК "ЭЛЕКТРОН", АО "УРАЛЬСКИЙ ПРИБОРОСТРОИТЕЛЬНЫЙ ЗАВОД", АО "ЗАСЛОН", ООО НАУЧНО-МЕДИЦИНСКАЯ ФИРМА "НЕЙРОТЕХ" не являются производителями требующихся нам внутрисосудистых датчиков для системы ультразвуковой визуализации, одноразового использования. Данные производители выпускают УЗИ- аппараты с различными типами датчиков, включая внутриполостные, предназначены для проведения внешней диагностики».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В ходе проведения проверки не установлено однозначных и бесспорных доказательств наличия истребуемых к поставке медицинских изделий в Реестре радиоэлектронной продукции.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Таким образом, данный довод признается необоснованным.</w:t>
      </w:r>
    </w:p>
    <w:p>
      <w:pPr>
        <w:pStyle w:val="Style11"/>
        <w:keepNext w:val="0"/>
        <w:keepLines w:val="0"/>
        <w:widowControl w:val="0"/>
        <w:numPr>
          <w:ilvl w:val="0"/>
          <w:numId w:val="5"/>
        </w:numPr>
        <w:shd w:val="clear" w:color="auto" w:fill="auto"/>
        <w:tabs>
          <w:tab w:pos="1131" w:val="left"/>
        </w:tabs>
        <w:bidi w:val="0"/>
        <w:spacing w:before="0" w:after="0" w:line="240" w:lineRule="auto"/>
        <w:ind w:left="0" w:right="0" w:firstLine="580"/>
        <w:jc w:val="both"/>
      </w:pPr>
      <w:r>
        <w:rPr>
          <w:rStyle w:val="CharStyle12"/>
        </w:rPr>
        <w:t>Одиннадцатый и двенадцатый доводы жалобы сводится к неприменению Заказчиком КТРУ.</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Как указывалось выше, приведено в Таблице </w:t>
      </w:r>
      <w:r>
        <w:rPr>
          <w:rStyle w:val="CharStyle12"/>
          <w:lang w:val="en-US" w:eastAsia="en-US"/>
        </w:rPr>
        <w:t xml:space="preserve">1, </w:t>
      </w:r>
      <w:r>
        <w:rPr>
          <w:rStyle w:val="CharStyle12"/>
        </w:rPr>
        <w:t xml:space="preserve">а также по тексту настоящего решения, Заказчиком применено КТРУ исходя из кода ОКПД </w:t>
      </w:r>
      <w:r>
        <w:rPr>
          <w:rStyle w:val="CharStyle12"/>
          <w:lang w:val="en-US" w:eastAsia="en-US"/>
        </w:rPr>
        <w:t>2.</w:t>
      </w:r>
    </w:p>
    <w:p>
      <w:pPr>
        <w:pStyle w:val="Style11"/>
        <w:keepNext w:val="0"/>
        <w:keepLines w:val="0"/>
        <w:widowControl w:val="0"/>
        <w:shd w:val="clear" w:color="auto" w:fill="auto"/>
        <w:bidi w:val="0"/>
        <w:spacing w:before="0" w:after="0" w:line="240" w:lineRule="auto"/>
        <w:ind w:left="0" w:right="0" w:firstLine="580"/>
        <w:jc w:val="both"/>
      </w:pPr>
      <w:r>
        <w:rPr>
          <w:rStyle w:val="CharStyle12"/>
        </w:rPr>
        <w:t>Следовательно, данные доводы жалобы не нашли своего подтверждения.</w:t>
      </w:r>
    </w:p>
    <w:p>
      <w:pPr>
        <w:pStyle w:val="Style11"/>
        <w:keepNext w:val="0"/>
        <w:keepLines w:val="0"/>
        <w:widowControl w:val="0"/>
        <w:numPr>
          <w:ilvl w:val="0"/>
          <w:numId w:val="5"/>
        </w:numPr>
        <w:shd w:val="clear" w:color="auto" w:fill="auto"/>
        <w:tabs>
          <w:tab w:pos="1126" w:val="left"/>
        </w:tabs>
        <w:bidi w:val="0"/>
        <w:spacing w:before="0" w:after="0" w:line="240" w:lineRule="auto"/>
        <w:ind w:left="0" w:right="0" w:firstLine="580"/>
        <w:jc w:val="both"/>
      </w:pPr>
      <w:r>
        <w:rPr>
          <w:rStyle w:val="CharStyle12"/>
        </w:rPr>
        <w:t xml:space="preserve">В тринадцатом доводе жалобы Заявитель указывает: «Заказчик не применил Постановление Правительства РФ от </w:t>
      </w:r>
      <w:r>
        <w:rPr>
          <w:rStyle w:val="CharStyle12"/>
          <w:lang w:val="en-US" w:eastAsia="en-US"/>
        </w:rPr>
        <w:t xml:space="preserve">16 </w:t>
      </w:r>
      <w:r>
        <w:rPr>
          <w:rStyle w:val="CharStyle12"/>
        </w:rPr>
        <w:t xml:space="preserve">ноября </w:t>
      </w:r>
      <w:r>
        <w:rPr>
          <w:rStyle w:val="CharStyle12"/>
          <w:lang w:val="en-US" w:eastAsia="en-US"/>
        </w:rPr>
        <w:t xml:space="preserve">2015 </w:t>
      </w:r>
      <w:r>
        <w:rPr>
          <w:rStyle w:val="CharStyle12"/>
        </w:rPr>
        <w:t xml:space="preserve">г. </w:t>
      </w:r>
      <w:r>
        <w:rPr>
          <w:rStyle w:val="CharStyle12"/>
          <w:lang w:val="en-US" w:eastAsia="en-US"/>
        </w:rPr>
        <w:t xml:space="preserve">№ 1236 </w:t>
      </w:r>
      <w:r>
        <w:rPr>
          <w:rStyle w:val="CharStyle12"/>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580"/>
        <w:jc w:val="both"/>
      </w:pPr>
      <w:r>
        <w:rPr>
          <w:rStyle w:val="CharStyle12"/>
        </w:rPr>
        <w:t>Комиссией установлено, что в обжалуемой Заявителем закупочной процедуре отсутствует требование к поставке программного обеспечения.</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Заказчиком предъявлен к поставке товар, не имеющий самостоятельного программного обеспечения, в том числе, указанное в составе жалобы </w:t>
      </w:r>
      <w:r>
        <w:rPr>
          <w:rStyle w:val="CharStyle12"/>
          <w:lang w:val="en-US" w:eastAsia="en-US"/>
        </w:rPr>
        <w:t xml:space="preserve">DICOM. </w:t>
      </w:r>
      <w:r>
        <w:rPr>
          <w:rStyle w:val="CharStyle12"/>
        </w:rPr>
        <w:t xml:space="preserve">В этой связи требования Постановления Правительства РФ от </w:t>
      </w:r>
      <w:r>
        <w:rPr>
          <w:rStyle w:val="CharStyle12"/>
          <w:lang w:val="en-US" w:eastAsia="en-US"/>
        </w:rPr>
        <w:t xml:space="preserve">16 </w:t>
      </w:r>
      <w:r>
        <w:rPr>
          <w:rStyle w:val="CharStyle12"/>
        </w:rPr>
        <w:t xml:space="preserve">ноября </w:t>
      </w:r>
      <w:r>
        <w:rPr>
          <w:rStyle w:val="CharStyle12"/>
          <w:lang w:val="en-US" w:eastAsia="en-US"/>
        </w:rPr>
        <w:t xml:space="preserve">2015 </w:t>
      </w:r>
      <w:r>
        <w:rPr>
          <w:rStyle w:val="CharStyle12"/>
        </w:rPr>
        <w:t xml:space="preserve">г. </w:t>
      </w:r>
      <w:r>
        <w:rPr>
          <w:rStyle w:val="CharStyle12"/>
          <w:lang w:val="en-US" w:eastAsia="en-US"/>
        </w:rPr>
        <w:t xml:space="preserve">№ 1236 </w:t>
      </w:r>
      <w:r>
        <w:rPr>
          <w:rStyle w:val="CharStyle12"/>
        </w:rPr>
        <w:t>не применялись.</w:t>
      </w:r>
    </w:p>
    <w:p>
      <w:pPr>
        <w:pStyle w:val="Style11"/>
        <w:keepNext w:val="0"/>
        <w:keepLines w:val="0"/>
        <w:widowControl w:val="0"/>
        <w:shd w:val="clear" w:color="auto" w:fill="auto"/>
        <w:bidi w:val="0"/>
        <w:spacing w:before="0" w:after="0" w:line="240" w:lineRule="auto"/>
        <w:ind w:left="0" w:right="0" w:firstLine="580"/>
        <w:jc w:val="both"/>
      </w:pPr>
      <w:r>
        <w:rPr>
          <w:rStyle w:val="CharStyle12"/>
        </w:rPr>
        <w:t>Таким образом, довод жалобы оставляется без удовлетворения.</w:t>
      </w:r>
    </w:p>
    <w:p>
      <w:pPr>
        <w:pStyle w:val="Style11"/>
        <w:keepNext w:val="0"/>
        <w:keepLines w:val="0"/>
        <w:widowControl w:val="0"/>
        <w:numPr>
          <w:ilvl w:val="0"/>
          <w:numId w:val="5"/>
        </w:numPr>
        <w:shd w:val="clear" w:color="auto" w:fill="auto"/>
        <w:tabs>
          <w:tab w:pos="1136" w:val="left"/>
        </w:tabs>
        <w:bidi w:val="0"/>
        <w:spacing w:before="0" w:after="0" w:line="240" w:lineRule="auto"/>
        <w:ind w:left="0" w:right="0" w:firstLine="580"/>
        <w:jc w:val="both"/>
      </w:pPr>
      <w:r>
        <w:rPr>
          <w:rStyle w:val="CharStyle12"/>
        </w:rPr>
        <w:t>Четырнадцатый довод жалобы заявителя сводится к применению характеристик, ограничивающих конкуренцию, поскольку они присутствуют только у одного изготовителя.</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При этом, Заказчиком на рассмотрение Комиссии представлен запрос коммерческих предложений от </w:t>
      </w:r>
      <w:r>
        <w:rPr>
          <w:rStyle w:val="CharStyle12"/>
          <w:lang w:val="en-US" w:eastAsia="en-US"/>
        </w:rPr>
        <w:t xml:space="preserve">19.01.2026 </w:t>
      </w:r>
      <w:r>
        <w:rPr>
          <w:rStyle w:val="CharStyle12"/>
        </w:rPr>
        <w:t>и ответы на него.</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Согласно представленным коммерческим предложениям к поставке предлагаются товары производителей </w:t>
      </w:r>
      <w:r>
        <w:rPr>
          <w:rStyle w:val="CharStyle12"/>
          <w:color w:val="000000"/>
        </w:rPr>
        <w:t>ООО «Элестим-Кардио» (Россия), «Медтроник Инк» (США)</w:t>
      </w:r>
      <w:r>
        <w:rPr>
          <w:rStyle w:val="CharStyle12"/>
        </w:rPr>
        <w:t xml:space="preserve">, </w:t>
      </w:r>
      <w:r>
        <w:rPr>
          <w:rStyle w:val="CharStyle12"/>
          <w:color w:val="000000"/>
        </w:rPr>
        <w:t xml:space="preserve">«БИОТРОНИК СЕ </w:t>
      </w:r>
      <w:r>
        <w:rPr>
          <w:rStyle w:val="CharStyle12"/>
          <w:color w:val="000000"/>
          <w:lang w:val="en-US" w:eastAsia="en-US"/>
        </w:rPr>
        <w:t xml:space="preserve">&amp; </w:t>
      </w:r>
      <w:r>
        <w:rPr>
          <w:rStyle w:val="CharStyle12"/>
          <w:color w:val="000000"/>
        </w:rPr>
        <w:t xml:space="preserve">Ко. КГ» (Германия) </w:t>
      </w:r>
      <w:r>
        <w:rPr>
          <w:rStyle w:val="CharStyle12"/>
        </w:rPr>
        <w:t>и др.</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Указанное означает, что имеется как минимум </w:t>
      </w:r>
      <w:r>
        <w:rPr>
          <w:rStyle w:val="CharStyle12"/>
          <w:lang w:val="en-US" w:eastAsia="en-US"/>
        </w:rPr>
        <w:t xml:space="preserve">3 </w:t>
      </w:r>
      <w:r>
        <w:rPr>
          <w:rStyle w:val="CharStyle12"/>
        </w:rPr>
        <w:t>изготовителя истребуемых Заказчиком к поставке товаров.</w:t>
      </w:r>
    </w:p>
    <w:p>
      <w:pPr>
        <w:pStyle w:val="Style11"/>
        <w:keepNext w:val="0"/>
        <w:keepLines w:val="0"/>
        <w:widowControl w:val="0"/>
        <w:shd w:val="clear" w:color="auto" w:fill="auto"/>
        <w:bidi w:val="0"/>
        <w:spacing w:before="0" w:after="0" w:line="240" w:lineRule="auto"/>
        <w:ind w:left="0" w:right="0" w:firstLine="580"/>
        <w:jc w:val="both"/>
      </w:pPr>
      <w:r>
        <w:rPr>
          <w:rStyle w:val="CharStyle12"/>
        </w:rPr>
        <w:t>В указанной части нарушений со стороны Заказчика не установлено.</w:t>
      </w:r>
      <w:r>
        <w:br w:type="page"/>
      </w:r>
    </w:p>
    <w:p>
      <w:pPr>
        <w:pStyle w:val="Style11"/>
        <w:keepNext w:val="0"/>
        <w:keepLines w:val="0"/>
        <w:widowControl w:val="0"/>
        <w:numPr>
          <w:ilvl w:val="0"/>
          <w:numId w:val="5"/>
        </w:numPr>
        <w:shd w:val="clear" w:color="auto" w:fill="auto"/>
        <w:tabs>
          <w:tab w:pos="1131" w:val="left"/>
        </w:tabs>
        <w:bidi w:val="0"/>
        <w:spacing w:before="0" w:after="0" w:line="240" w:lineRule="auto"/>
        <w:ind w:left="0" w:right="0" w:firstLine="580"/>
        <w:jc w:val="both"/>
      </w:pPr>
      <w:r>
        <w:rPr>
          <w:rStyle w:val="CharStyle12"/>
        </w:rPr>
        <w:t>Согласно пятнадцатому доводу жалобы: «Нет технического задания в Файле, в четком соответствии со структурным вариантом в ЕИС нарушены ПРАВИЛА ИСПОЛЬЗОВАНИЯ КАТАЛОГА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580"/>
        <w:jc w:val="both"/>
      </w:pPr>
      <w:r>
        <w:rPr>
          <w:rStyle w:val="CharStyle12"/>
        </w:rPr>
        <w:t>Неоднократно выше указывалось, что структурированной форме извещения полностью соответствует вложенный файл с описанием объекта закупки.</w:t>
      </w:r>
    </w:p>
    <w:p>
      <w:pPr>
        <w:pStyle w:val="Style11"/>
        <w:keepNext w:val="0"/>
        <w:keepLines w:val="0"/>
        <w:widowControl w:val="0"/>
        <w:shd w:val="clear" w:color="auto" w:fill="auto"/>
        <w:bidi w:val="0"/>
        <w:spacing w:before="0" w:after="0" w:line="240" w:lineRule="auto"/>
        <w:ind w:left="0" w:right="0" w:firstLine="580"/>
        <w:jc w:val="both"/>
      </w:pPr>
      <w:r>
        <w:rPr>
          <w:rStyle w:val="CharStyle12"/>
        </w:rPr>
        <w:t>Следовательно, указанный довод жалобы не находит своего подтверждения.</w:t>
      </w:r>
    </w:p>
    <w:p>
      <w:pPr>
        <w:pStyle w:val="Style11"/>
        <w:keepNext w:val="0"/>
        <w:keepLines w:val="0"/>
        <w:widowControl w:val="0"/>
        <w:numPr>
          <w:ilvl w:val="0"/>
          <w:numId w:val="5"/>
        </w:numPr>
        <w:shd w:val="clear" w:color="auto" w:fill="auto"/>
        <w:tabs>
          <w:tab w:pos="1131" w:val="left"/>
        </w:tabs>
        <w:bidi w:val="0"/>
        <w:spacing w:before="0" w:after="0" w:line="240" w:lineRule="auto"/>
        <w:ind w:left="0" w:right="0" w:firstLine="580"/>
        <w:jc w:val="both"/>
      </w:pPr>
      <w:r>
        <w:rPr>
          <w:rStyle w:val="CharStyle12"/>
        </w:rPr>
        <w:t xml:space="preserve">Согласно шестнадцатому доводу жалобы: </w:t>
      </w:r>
      <w:r>
        <w:rPr>
          <w:rStyle w:val="CharStyle12"/>
          <w:lang w:val="en-US" w:eastAsia="en-US"/>
        </w:rPr>
        <w:t>«...</w:t>
      </w:r>
      <w:r>
        <w:rPr>
          <w:rStyle w:val="CharStyle12"/>
        </w:rPr>
        <w:t>и</w:t>
      </w:r>
      <w:r>
        <w:rPr>
          <w:rStyle w:val="CharStyle12"/>
          <w:color w:val="000000"/>
        </w:rPr>
        <w:t>звещение в ЕИС, проект контракта в ЕИС и размещённый контракт по результатам выбора поставщика для подписания, имеет ряд нарушений и отклонений от действующего законодательства, в том числе не заполненные данные.</w:t>
      </w:r>
    </w:p>
    <w:p>
      <w:pPr>
        <w:pStyle w:val="Style11"/>
        <w:keepNext w:val="0"/>
        <w:keepLines w:val="0"/>
        <w:widowControl w:val="0"/>
        <w:shd w:val="clear" w:color="auto" w:fill="auto"/>
        <w:bidi w:val="0"/>
        <w:spacing w:before="0" w:after="0" w:line="240" w:lineRule="auto"/>
        <w:ind w:left="0" w:right="0" w:firstLine="580"/>
        <w:jc w:val="both"/>
      </w:pPr>
      <w:r>
        <w:rPr>
          <w:rStyle w:val="CharStyle12"/>
        </w:rPr>
        <w:t>В извещении в ЕИС не указаны контактные данные сотрудников конечного получателя и функционального заказчика ЛПУ».</w:t>
      </w:r>
    </w:p>
    <w:p>
      <w:pPr>
        <w:pStyle w:val="Style11"/>
        <w:keepNext w:val="0"/>
        <w:keepLines w:val="0"/>
        <w:widowControl w:val="0"/>
        <w:shd w:val="clear" w:color="auto" w:fill="auto"/>
        <w:bidi w:val="0"/>
        <w:spacing w:before="0" w:after="0" w:line="240" w:lineRule="auto"/>
        <w:ind w:left="0" w:right="0" w:firstLine="580"/>
        <w:jc w:val="both"/>
      </w:pPr>
      <w:r>
        <w:rPr>
          <w:rStyle w:val="CharStyle12"/>
        </w:rPr>
        <w:t>Комиссией установлено, что в ЕИС на вкладке общая информация о закупке в разделе контактная информация, представлена вся необходимая информация о Заказчике, контактных лицах Заказчика, а также на общей вкладке в разделе Условия контракта указаны данные пот месту поставки товара.</w:t>
      </w:r>
    </w:p>
    <w:p>
      <w:pPr>
        <w:pStyle w:val="Style11"/>
        <w:keepNext w:val="0"/>
        <w:keepLines w:val="0"/>
        <w:widowControl w:val="0"/>
        <w:shd w:val="clear" w:color="auto" w:fill="auto"/>
        <w:bidi w:val="0"/>
        <w:spacing w:before="0" w:after="0" w:line="240" w:lineRule="auto"/>
        <w:ind w:left="0" w:right="0" w:firstLine="580"/>
        <w:jc w:val="both"/>
      </w:pPr>
      <w:r>
        <w:rPr>
          <w:rStyle w:val="CharStyle12"/>
        </w:rPr>
        <w:t xml:space="preserve">Таким образом, данный довод жалобы </w:t>
      </w:r>
      <w:r>
        <w:rPr>
          <w:rStyle w:val="CharStyle12"/>
          <w:lang w:val="en-US" w:eastAsia="en-US"/>
        </w:rPr>
        <w:t xml:space="preserve">- </w:t>
      </w:r>
      <w:r>
        <w:rPr>
          <w:rStyle w:val="CharStyle12"/>
        </w:rPr>
        <w:t>необоснованный.</w:t>
      </w:r>
    </w:p>
    <w:p>
      <w:pPr>
        <w:pStyle w:val="Style11"/>
        <w:keepNext w:val="0"/>
        <w:keepLines w:val="0"/>
        <w:widowControl w:val="0"/>
        <w:numPr>
          <w:ilvl w:val="0"/>
          <w:numId w:val="5"/>
        </w:numPr>
        <w:shd w:val="clear" w:color="auto" w:fill="auto"/>
        <w:tabs>
          <w:tab w:pos="1131" w:val="left"/>
        </w:tabs>
        <w:bidi w:val="0"/>
        <w:spacing w:before="0" w:after="0" w:line="240" w:lineRule="auto"/>
        <w:ind w:left="0" w:right="0" w:firstLine="580"/>
        <w:jc w:val="both"/>
      </w:pPr>
      <w:r>
        <w:rPr>
          <w:rStyle w:val="CharStyle12"/>
        </w:rPr>
        <w:t xml:space="preserve">В семнадцатом доводе жалобы Заявитель указывает: </w:t>
      </w:r>
      <w:r>
        <w:rPr>
          <w:rStyle w:val="CharStyle12"/>
          <w:lang w:val="en-US" w:eastAsia="en-US"/>
        </w:rPr>
        <w:t>«...</w:t>
      </w:r>
      <w:r>
        <w:rPr>
          <w:rStyle w:val="CharStyle12"/>
        </w:rPr>
        <w:t>в ЕИС/проекте контракта,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pPr>
        <w:pStyle w:val="Style11"/>
        <w:keepNext w:val="0"/>
        <w:keepLines w:val="0"/>
        <w:widowControl w:val="0"/>
        <w:shd w:val="clear" w:color="auto" w:fill="auto"/>
        <w:bidi w:val="0"/>
        <w:spacing w:before="0" w:after="0" w:line="240" w:lineRule="auto"/>
        <w:ind w:left="0" w:right="0" w:firstLine="580"/>
        <w:jc w:val="both"/>
      </w:pPr>
      <w:r>
        <w:rPr>
          <w:rStyle w:val="CharStyle12"/>
        </w:rPr>
        <w:t>В ЕИС на вкладке общая информация о закупке в разделе Информация о сроках исполнения контракта и источниках финансирования, представлена информация о сроках исполнения Контракта и условиях финансирования.</w:t>
      </w:r>
    </w:p>
    <w:p>
      <w:pPr>
        <w:pStyle w:val="Style11"/>
        <w:keepNext w:val="0"/>
        <w:keepLines w:val="0"/>
        <w:widowControl w:val="0"/>
        <w:shd w:val="clear" w:color="auto" w:fill="auto"/>
        <w:bidi w:val="0"/>
        <w:spacing w:before="0" w:after="0" w:line="240" w:lineRule="auto"/>
        <w:ind w:left="0" w:right="0" w:firstLine="580"/>
        <w:jc w:val="both"/>
      </w:pPr>
      <w:r>
        <w:rPr>
          <w:rStyle w:val="CharStyle12"/>
        </w:rPr>
        <w:t>Семнадцатый довод жалобы признается необоснованным.</w:t>
      </w:r>
    </w:p>
    <w:p>
      <w:pPr>
        <w:pStyle w:val="Style11"/>
        <w:keepNext w:val="0"/>
        <w:keepLines w:val="0"/>
        <w:widowControl w:val="0"/>
        <w:shd w:val="clear" w:color="auto" w:fill="auto"/>
        <w:bidi w:val="0"/>
        <w:spacing w:before="0" w:after="280" w:line="240" w:lineRule="auto"/>
        <w:ind w:left="0" w:right="0" w:firstLine="580"/>
        <w:jc w:val="both"/>
      </w:pPr>
      <w:r>
        <w:rPr>
          <w:rStyle w:val="CharStyle12"/>
          <w:color w:val="000000"/>
        </w:rPr>
        <w:t xml:space="preserve">На основании изложенного и руководствуясь пунктом </w:t>
      </w:r>
      <w:r>
        <w:rPr>
          <w:rStyle w:val="CharStyle12"/>
          <w:color w:val="000000"/>
          <w:lang w:val="en-US" w:eastAsia="en-US"/>
        </w:rPr>
        <w:t xml:space="preserve">1 </w:t>
      </w:r>
      <w:r>
        <w:rPr>
          <w:rStyle w:val="CharStyle12"/>
          <w:color w:val="000000"/>
        </w:rPr>
        <w:t xml:space="preserve">части </w:t>
      </w:r>
      <w:r>
        <w:rPr>
          <w:rStyle w:val="CharStyle12"/>
          <w:color w:val="000000"/>
          <w:lang w:val="en-US" w:eastAsia="en-US"/>
        </w:rPr>
        <w:t xml:space="preserve">15, </w:t>
      </w:r>
      <w:r>
        <w:rPr>
          <w:rStyle w:val="CharStyle12"/>
          <w:color w:val="000000"/>
        </w:rPr>
        <w:t xml:space="preserve">пунктом </w:t>
      </w:r>
      <w:r>
        <w:rPr>
          <w:rStyle w:val="CharStyle12"/>
          <w:color w:val="000000"/>
          <w:lang w:val="en-US" w:eastAsia="en-US"/>
        </w:rPr>
        <w:t xml:space="preserve">2 </w:t>
      </w:r>
      <w:r>
        <w:rPr>
          <w:rStyle w:val="CharStyle12"/>
          <w:color w:val="000000"/>
        </w:rPr>
        <w:t xml:space="preserve">части </w:t>
      </w:r>
      <w:r>
        <w:rPr>
          <w:rStyle w:val="CharStyle12"/>
          <w:color w:val="000000"/>
          <w:lang w:val="en-US" w:eastAsia="en-US"/>
        </w:rPr>
        <w:t xml:space="preserve">22 </w:t>
      </w:r>
      <w:r>
        <w:rPr>
          <w:rStyle w:val="CharStyle12"/>
          <w:color w:val="000000"/>
        </w:rPr>
        <w:t xml:space="preserve">статьи </w:t>
      </w:r>
      <w:r>
        <w:rPr>
          <w:rStyle w:val="CharStyle12"/>
          <w:color w:val="000000"/>
          <w:lang w:val="en-US" w:eastAsia="en-US"/>
        </w:rPr>
        <w:t xml:space="preserve">99, </w:t>
      </w:r>
      <w:r>
        <w:rPr>
          <w:rStyle w:val="CharStyle12"/>
          <w:color w:val="000000"/>
        </w:rPr>
        <w:t xml:space="preserve">частью </w:t>
      </w:r>
      <w:r>
        <w:rPr>
          <w:rStyle w:val="CharStyle12"/>
          <w:color w:val="000000"/>
          <w:lang w:val="en-US" w:eastAsia="en-US"/>
        </w:rPr>
        <w:t xml:space="preserve">8 </w:t>
      </w:r>
      <w:r>
        <w:rPr>
          <w:rStyle w:val="CharStyle12"/>
          <w:color w:val="000000"/>
        </w:rPr>
        <w:t xml:space="preserve">статьи </w:t>
      </w:r>
      <w:r>
        <w:rPr>
          <w:rStyle w:val="CharStyle12"/>
          <w:color w:val="000000"/>
          <w:lang w:val="en-US" w:eastAsia="en-US"/>
        </w:rPr>
        <w:t xml:space="preserve">106 </w:t>
      </w:r>
      <w:r>
        <w:rPr>
          <w:rStyle w:val="CharStyle12"/>
          <w:color w:val="000000"/>
        </w:rPr>
        <w:t>Закона о контрактной системе, Комиссия Нижегородского УФАС России,</w:t>
      </w:r>
    </w:p>
    <w:p>
      <w:pPr>
        <w:pStyle w:val="Style11"/>
        <w:keepNext w:val="0"/>
        <w:keepLines w:val="0"/>
        <w:widowControl w:val="0"/>
        <w:shd w:val="clear" w:color="auto" w:fill="auto"/>
        <w:bidi w:val="0"/>
        <w:spacing w:before="0" w:after="0" w:line="240" w:lineRule="auto"/>
        <w:ind w:left="0" w:right="0" w:firstLine="0"/>
        <w:jc w:val="center"/>
      </w:pPr>
      <w:r>
        <w:rPr>
          <w:rStyle w:val="CharStyle12"/>
          <w:color w:val="000000"/>
        </w:rPr>
        <w:t>решила:</w:t>
      </w:r>
    </w:p>
    <w:p>
      <w:pPr>
        <w:pStyle w:val="Style11"/>
        <w:keepNext w:val="0"/>
        <w:keepLines w:val="0"/>
        <w:widowControl w:val="0"/>
        <w:shd w:val="clear" w:color="auto" w:fill="auto"/>
        <w:bidi w:val="0"/>
        <w:spacing w:before="0" w:after="0" w:line="240" w:lineRule="auto"/>
        <w:ind w:left="0" w:right="0" w:firstLine="580"/>
        <w:jc w:val="both"/>
      </w:pPr>
      <w:r>
        <w:rPr>
          <w:rStyle w:val="CharStyle12"/>
          <w:color w:val="000000"/>
        </w:rPr>
        <w:t xml:space="preserve">Признать жалобу ИП Кравченко Алексея Викторовича на действия ГП НО «НОФ» при проведении запроса котировок в электронной форме по объекту закупки: Ц-5802_Закупка медицинских изделий, номер извещения </w:t>
      </w:r>
      <w:r>
        <w:rPr>
          <w:rStyle w:val="CharStyle12"/>
          <w:color w:val="000000"/>
          <w:lang w:val="en-US" w:eastAsia="en-US"/>
        </w:rPr>
        <w:t xml:space="preserve">0432200000826001919, </w:t>
      </w:r>
      <w:r>
        <w:rPr>
          <w:rStyle w:val="CharStyle12"/>
          <w:color w:val="000000"/>
        </w:rPr>
        <w:t>необоснованной.</w:t>
      </w:r>
    </w:p>
    <w:p>
      <w:pPr>
        <w:pStyle w:val="Style11"/>
        <w:keepNext w:val="0"/>
        <w:keepLines w:val="0"/>
        <w:widowControl w:val="0"/>
        <w:shd w:val="clear" w:color="auto" w:fill="auto"/>
        <w:bidi w:val="0"/>
        <w:spacing w:before="0" w:after="0" w:line="240" w:lineRule="auto"/>
        <w:ind w:left="0" w:right="0" w:firstLine="580"/>
        <w:jc w:val="both"/>
      </w:pPr>
      <w:r>
        <w:rPr>
          <w:rStyle w:val="CharStyle12"/>
          <w:color w:val="000000"/>
        </w:rPr>
        <w:t xml:space="preserve">В соответствии с частью </w:t>
      </w:r>
      <w:r>
        <w:rPr>
          <w:rStyle w:val="CharStyle12"/>
          <w:color w:val="000000"/>
          <w:lang w:val="en-US" w:eastAsia="en-US"/>
        </w:rPr>
        <w:t xml:space="preserve">9 </w:t>
      </w:r>
      <w:r>
        <w:rPr>
          <w:rStyle w:val="CharStyle12"/>
          <w:color w:val="000000"/>
        </w:rPr>
        <w:t xml:space="preserve">статьи </w:t>
      </w:r>
      <w:r>
        <w:rPr>
          <w:rStyle w:val="CharStyle12"/>
          <w:color w:val="000000"/>
          <w:lang w:val="en-US" w:eastAsia="en-US"/>
        </w:rPr>
        <w:t xml:space="preserve">106 </w:t>
      </w:r>
      <w:r>
        <w:rPr>
          <w:rStyle w:val="CharStyle12"/>
          <w:color w:val="000000"/>
        </w:rPr>
        <w:t>Закона о контрактной системе настоящее решение может быть обжаловано в судебном порядке в течение трех месяцев со дня его принятия.</w:t>
      </w:r>
    </w:p>
    <w:p>
      <w:pPr>
        <w:widowControl w:val="0"/>
        <w:spacing w:line="1" w:lineRule="exact"/>
      </w:pPr>
      <w:r>
        <mc:AlternateContent>
          <mc:Choice Requires="wps">
            <w:drawing>
              <wp:anchor distT="114300" distB="201295" distL="0" distR="0" simplePos="0" relativeHeight="125829379" behindDoc="0" locked="0" layoutInCell="1" allowOverlap="1">
                <wp:simplePos x="0" y="0"/>
                <wp:positionH relativeFrom="page">
                  <wp:posOffset>767080</wp:posOffset>
                </wp:positionH>
                <wp:positionV relativeFrom="paragraph">
                  <wp:posOffset>114300</wp:posOffset>
                </wp:positionV>
                <wp:extent cx="1810385" cy="243840"/>
                <wp:wrapTopAndBottom/>
                <wp:docPr id="11" name="Shape 11"/>
                <a:graphic xmlns:a="http://schemas.openxmlformats.org/drawingml/2006/main">
                  <a:graphicData uri="http://schemas.microsoft.com/office/word/2010/wordprocessingShape">
                    <wps:wsp>
                      <wps:cNvSpPr txBox="1"/>
                      <wps:spPr>
                        <a:xfrm>
                          <a:ext cx="1810385" cy="2438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6"/>
                                <w:szCs w:val="26"/>
                              </w:rPr>
                            </w:pPr>
                            <w:r>
                              <w:rPr>
                                <w:rStyle w:val="CharStyle12"/>
                                <w:color w:val="000000"/>
                                <w:sz w:val="26"/>
                                <w:szCs w:val="26"/>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60.399999999999999pt;margin-top:9.pt;width:142.55000000000001pt;height:19.199999999999999pt;z-index:-125829374;mso-wrap-distance-left:0;mso-wrap-distance-top:9.pt;mso-wrap-distance-right:0;mso-wrap-distance-bottom:15.8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6"/>
                          <w:szCs w:val="26"/>
                        </w:rPr>
                      </w:pPr>
                      <w:r>
                        <w:rPr>
                          <w:rStyle w:val="CharStyle12"/>
                          <w:color w:val="000000"/>
                          <w:sz w:val="26"/>
                          <w:szCs w:val="26"/>
                        </w:rPr>
                        <w:t>Председатель комиссии:</w:t>
                      </w:r>
                    </w:p>
                  </w:txbxContent>
                </v:textbox>
                <w10:wrap type="topAndBottom" anchorx="page"/>
              </v:shape>
            </w:pict>
          </mc:Fallback>
        </mc:AlternateContent>
      </w:r>
      <w:r>
        <w:drawing>
          <wp:anchor distT="214630" distB="635" distL="0" distR="1816735" simplePos="0" relativeHeight="125829381" behindDoc="0" locked="0" layoutInCell="1" allowOverlap="1">
            <wp:simplePos x="0" y="0"/>
            <wp:positionH relativeFrom="page">
              <wp:posOffset>2839720</wp:posOffset>
            </wp:positionH>
            <wp:positionV relativeFrom="paragraph">
              <wp:posOffset>214630</wp:posOffset>
            </wp:positionV>
            <wp:extent cx="298450" cy="34734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3229610</wp:posOffset>
                </wp:positionH>
                <wp:positionV relativeFrom="paragraph">
                  <wp:posOffset>275590</wp:posOffset>
                </wp:positionV>
                <wp:extent cx="1722120" cy="265430"/>
                <wp:wrapNone/>
                <wp:docPr id="15" name="Shape 15"/>
                <a:graphic xmlns:a="http://schemas.openxmlformats.org/drawingml/2006/main">
                  <a:graphicData uri="http://schemas.microsoft.com/office/word/2010/wordprocessingShape">
                    <wps:wsp>
                      <wps:cNvSpPr txBox="1"/>
                      <wps:spPr>
                        <a:xfrm>
                          <a:ext cx="1722120" cy="265430"/>
                        </a:xfrm>
                        <a:prstGeom prst="rect"/>
                        <a:noFill/>
                      </wps:spPr>
                      <wps:txbx>
                        <w:txbxContent>
                          <w:p>
                            <w:pPr>
                              <w:pStyle w:val="Style15"/>
                              <w:keepNext w:val="0"/>
                              <w:keepLines w:val="0"/>
                              <w:widowControl w:val="0"/>
                              <w:shd w:val="clear" w:color="auto" w:fill="auto"/>
                              <w:bidi w:val="0"/>
                              <w:spacing w:before="0" w:after="0"/>
                              <w:ind w:left="0" w:right="0" w:firstLine="0"/>
                              <w:jc w:val="left"/>
                            </w:pPr>
                            <w:r>
                              <w:rPr>
                                <w:rStyle w:val="CharStyle16"/>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54.30000000000001pt;margin-top:21.699999999999999pt;width:135.59999999999999pt;height:20.9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rStyle w:val="CharStyle16"/>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201295" distL="0" distR="0" simplePos="0" relativeHeight="125829382" behindDoc="0" locked="0" layoutInCell="1" allowOverlap="1">
                <wp:simplePos x="0" y="0"/>
                <wp:positionH relativeFrom="page">
                  <wp:posOffset>5692775</wp:posOffset>
                </wp:positionH>
                <wp:positionV relativeFrom="paragraph">
                  <wp:posOffset>114300</wp:posOffset>
                </wp:positionV>
                <wp:extent cx="984250" cy="243840"/>
                <wp:wrapTopAndBottom/>
                <wp:docPr id="17" name="Shape 17"/>
                <a:graphic xmlns:a="http://schemas.openxmlformats.org/drawingml/2006/main">
                  <a:graphicData uri="http://schemas.microsoft.com/office/word/2010/wordprocessingShape">
                    <wps:wsp>
                      <wps:cNvSpPr txBox="1"/>
                      <wps:spPr>
                        <a:xfrm>
                          <a:ext cx="984250" cy="2438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6"/>
                                <w:szCs w:val="26"/>
                              </w:rPr>
                            </w:pPr>
                            <w:r>
                              <w:rPr>
                                <w:rStyle w:val="CharStyle12"/>
                                <w:color w:val="000000"/>
                                <w:sz w:val="26"/>
                                <w:szCs w:val="26"/>
                              </w:rPr>
                              <w:t>И.С. Канаева</w:t>
                            </w:r>
                          </w:p>
                        </w:txbxContent>
                      </wps:txbx>
                      <wps:bodyPr wrap="none" lIns="0" tIns="0" rIns="0" bIns="0">
                        <a:noAutoFit/>
                      </wps:bodyPr>
                    </wps:wsp>
                  </a:graphicData>
                </a:graphic>
              </wp:anchor>
            </w:drawing>
          </mc:Choice>
          <mc:Fallback>
            <w:pict>
              <v:shape id="_x0000_s1043" type="#_x0000_t202" style="position:absolute;margin-left:448.25pt;margin-top:9.pt;width:77.5pt;height:19.199999999999999pt;z-index:-125829371;mso-wrap-distance-left:0;mso-wrap-distance-top:9.pt;mso-wrap-distance-right:0;mso-wrap-distance-bottom:15.8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6"/>
                          <w:szCs w:val="26"/>
                        </w:rPr>
                      </w:pPr>
                      <w:r>
                        <w:rPr>
                          <w:rStyle w:val="CharStyle12"/>
                          <w:color w:val="000000"/>
                          <w:sz w:val="26"/>
                          <w:szCs w:val="26"/>
                        </w:rPr>
                        <w:t>И.С. Канаева</w:t>
                      </w:r>
                    </w:p>
                  </w:txbxContent>
                </v:textbox>
                <w10:wrap type="topAndBottom" anchorx="page"/>
              </v:shape>
            </w:pict>
          </mc:Fallback>
        </mc:AlternateContent>
      </w:r>
    </w:p>
    <w:p>
      <w:pPr>
        <w:pStyle w:val="Style24"/>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5"/>
          <w:b/>
          <w:bCs/>
          <w:color w:val="FFFFFF"/>
        </w:rPr>
        <w:t>СВЕДЕНИЯ О СЕРТИФИКАТЕ ЭП</w:t>
      </w:r>
    </w:p>
    <w:p>
      <w:pPr>
        <w:pStyle w:val="Style26"/>
        <w:keepNext w:val="0"/>
        <w:keepLines w:val="0"/>
        <w:widowControl w:val="0"/>
        <w:shd w:val="clear" w:color="auto" w:fill="auto"/>
        <w:bidi w:val="0"/>
        <w:spacing w:before="0" w:after="0" w:line="240" w:lineRule="auto"/>
        <w:ind w:left="3300" w:right="0" w:firstLine="0"/>
        <w:jc w:val="left"/>
      </w:pPr>
      <w:r>
        <w:rPr>
          <w:rStyle w:val="CharStyle27"/>
        </w:rPr>
        <w:t xml:space="preserve">Кому выдан: </w:t>
      </w:r>
      <w:r>
        <w:rPr>
          <w:rStyle w:val="CharStyle27"/>
          <w:color w:val="000000"/>
        </w:rPr>
        <w:t>Канаева Ирина Сергеевна</w:t>
      </w:r>
    </w:p>
    <w:p>
      <w:pPr>
        <w:pStyle w:val="Style26"/>
        <w:keepNext w:val="0"/>
        <w:keepLines w:val="0"/>
        <w:widowControl w:val="0"/>
        <w:shd w:val="clear" w:color="auto" w:fill="auto"/>
        <w:bidi w:val="0"/>
        <w:spacing w:before="0" w:after="0" w:line="240" w:lineRule="auto"/>
        <w:ind w:left="0" w:right="0" w:firstLine="0"/>
        <w:jc w:val="center"/>
      </w:pPr>
      <w:r>
        <w:rPr>
          <w:rStyle w:val="CharStyle27"/>
        </w:rPr>
        <w:t xml:space="preserve">Сертификат </w:t>
      </w:r>
      <w:r>
        <w:rPr>
          <w:rStyle w:val="CharStyle27"/>
          <w:color w:val="292929"/>
        </w:rPr>
        <w:t xml:space="preserve">№ </w:t>
      </w:r>
      <w:r>
        <w:rPr>
          <w:rStyle w:val="CharStyle27"/>
          <w:lang w:val="en-US" w:eastAsia="en-US"/>
        </w:rPr>
        <w:t>00C0B702B4B52D40D7A483D5EEEFDC0E3</w:t>
      </w:r>
    </w:p>
    <w:p>
      <w:pPr>
        <w:pStyle w:val="Style26"/>
        <w:keepNext w:val="0"/>
        <w:keepLines w:val="0"/>
        <w:widowControl w:val="0"/>
        <w:shd w:val="clear" w:color="auto" w:fill="auto"/>
        <w:bidi w:val="0"/>
        <w:spacing w:before="0" w:after="60" w:line="240" w:lineRule="auto"/>
        <w:ind w:left="3300" w:right="0" w:firstLine="0"/>
        <w:jc w:val="left"/>
        <w:sectPr>
          <w:footnotePr>
            <w:pos w:val="pageBottom"/>
            <w:numFmt w:val="decimal"/>
            <w:numRestart w:val="continuous"/>
          </w:footnotePr>
          <w:type w:val="continuous"/>
          <w:pgSz w:w="11900" w:h="16840"/>
          <w:pgMar w:top="1442" w:right="407" w:bottom="1285" w:left="1057" w:header="0" w:footer="3" w:gutter="0"/>
          <w:cols w:space="720"/>
          <w:noEndnote/>
          <w:rtlGutter w:val="0"/>
          <w:docGrid w:linePitch="360"/>
        </w:sectPr>
      </w:pPr>
      <w:r>
        <w:rPr>
          <w:rStyle w:val="CharStyle27"/>
        </w:rPr>
        <w:t xml:space="preserve">Действителен с 18.09.2025 </w:t>
      </w:r>
      <w:r>
        <w:rPr>
          <w:rStyle w:val="CharStyle27"/>
          <w:color w:val="5E5E5E"/>
        </w:rPr>
        <w:t xml:space="preserve">по </w:t>
      </w:r>
      <w:r>
        <w:rPr>
          <w:rStyle w:val="CharStyle27"/>
        </w:rPr>
        <w:t>12.12.2026</w:t>
      </w: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pgSz w:w="11900" w:h="16840"/>
          <w:pgMar w:top="1459" w:right="1347" w:bottom="869" w:left="1107" w:header="0" w:footer="3" w:gutter="0"/>
          <w:cols w:space="720"/>
          <w:noEndnote/>
          <w:rtlGutter w:val="0"/>
          <w:docGrid w:linePitch="360"/>
        </w:sectPr>
      </w:pPr>
    </w:p>
    <w:p>
      <w:pPr>
        <w:pStyle w:val="Style31"/>
        <w:keepNext/>
        <w:keepLines/>
        <w:framePr w:w="2040" w:h="384" w:wrap="none" w:vAnchor="text" w:hAnchor="page" w:x="1161" w:y="21"/>
        <w:widowControl w:val="0"/>
        <w:shd w:val="clear" w:color="auto" w:fill="auto"/>
        <w:bidi w:val="0"/>
        <w:spacing w:before="0" w:after="0" w:line="240" w:lineRule="auto"/>
        <w:ind w:left="0" w:right="0" w:firstLine="0"/>
        <w:jc w:val="left"/>
      </w:pPr>
      <w:bookmarkStart w:id="2" w:name="bookmark2"/>
      <w:r>
        <w:rPr>
          <w:rStyle w:val="CharStyle32"/>
        </w:rPr>
        <w:t>Члены комиссии:</w:t>
      </w:r>
      <w:bookmarkEnd w:id="2"/>
    </w:p>
    <w:p>
      <w:pPr>
        <w:pStyle w:val="Style15"/>
        <w:keepNext w:val="0"/>
        <w:keepLines w:val="0"/>
        <w:framePr w:w="2712" w:h="418" w:wrap="none" w:vAnchor="text" w:hAnchor="page" w:x="5044" w:y="673"/>
        <w:widowControl w:val="0"/>
        <w:shd w:val="clear" w:color="auto" w:fill="auto"/>
        <w:bidi w:val="0"/>
        <w:spacing w:before="0" w:after="0"/>
        <w:ind w:left="0" w:right="0" w:firstLine="0"/>
        <w:jc w:val="left"/>
      </w:pPr>
      <w:r>
        <w:rPr>
          <w:rStyle w:val="CharStyle16"/>
          <w:b/>
          <w:bCs/>
        </w:rPr>
        <w:t>Подлинник электронного документа, подписанного ЭП, хранится в системе электронного документооборота ФАС России</w:t>
      </w:r>
    </w:p>
    <w:p>
      <w:pPr>
        <w:widowControl w:val="0"/>
        <w:spacing w:line="360" w:lineRule="exact"/>
      </w:pPr>
      <w:r>
        <w:drawing>
          <wp:anchor distT="0" distB="0" distL="0" distR="1816735" simplePos="0" relativeHeight="62914697" behindDoc="1" locked="0" layoutInCell="1" allowOverlap="1">
            <wp:simplePos x="0" y="0"/>
            <wp:positionH relativeFrom="page">
              <wp:posOffset>2812415</wp:posOffset>
            </wp:positionH>
            <wp:positionV relativeFrom="paragraph">
              <wp:posOffset>365760</wp:posOffset>
            </wp:positionV>
            <wp:extent cx="298450" cy="347345"/>
            <wp:wrapNone/>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5"/>
                    <a:stretch/>
                  </pic:blipFill>
                  <pic:spPr>
                    <a:xfrm>
                      <a:ext cx="298450" cy="347345"/>
                    </a:xfrm>
                    <a:prstGeom prst="rect"/>
                  </pic:spPr>
                </pic:pic>
              </a:graphicData>
            </a:graphic>
          </wp:anchor>
        </w:drawing>
      </w:r>
    </w:p>
    <w:p>
      <w:pPr>
        <w:widowControl w:val="0"/>
        <w:spacing w:line="360" w:lineRule="exact"/>
      </w:pPr>
    </w:p>
    <w:p>
      <w:pPr>
        <w:widowControl w:val="0"/>
        <w:spacing w:after="397" w:line="1" w:lineRule="exact"/>
      </w:pPr>
    </w:p>
    <w:p>
      <w:pPr>
        <w:widowControl w:val="0"/>
        <w:spacing w:line="1" w:lineRule="exact"/>
        <w:sectPr>
          <w:footnotePr>
            <w:pos w:val="pageBottom"/>
            <w:numFmt w:val="decimal"/>
            <w:numRestart w:val="continuous"/>
          </w:footnotePr>
          <w:type w:val="continuous"/>
          <w:pgSz w:w="11900" w:h="16840"/>
          <w:pgMar w:top="1459" w:right="1347" w:bottom="869" w:left="1107"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84" behindDoc="0" locked="0" layoutInCell="1" allowOverlap="1">
                <wp:simplePos x="0" y="0"/>
                <wp:positionH relativeFrom="page">
                  <wp:posOffset>5613400</wp:posOffset>
                </wp:positionH>
                <wp:positionV relativeFrom="paragraph">
                  <wp:posOffset>15240</wp:posOffset>
                </wp:positionV>
                <wp:extent cx="1088390" cy="243840"/>
                <wp:wrapSquare wrapText="bothSides"/>
                <wp:docPr id="21" name="Shape 21"/>
                <a:graphic xmlns:a="http://schemas.openxmlformats.org/drawingml/2006/main">
                  <a:graphicData uri="http://schemas.microsoft.com/office/word/2010/wordprocessingShape">
                    <wps:wsp>
                      <wps:cNvSpPr txBox="1"/>
                      <wps:spPr>
                        <a:xfrm>
                          <a:ext cx="1088390" cy="2438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6"/>
                                <w:szCs w:val="26"/>
                              </w:rPr>
                            </w:pPr>
                            <w:r>
                              <w:rPr>
                                <w:rStyle w:val="CharStyle12"/>
                                <w:color w:val="000000"/>
                                <w:sz w:val="26"/>
                                <w:szCs w:val="26"/>
                              </w:rPr>
                              <w:t>И.А. Королева</w:t>
                            </w:r>
                          </w:p>
                        </w:txbxContent>
                      </wps:txbx>
                      <wps:bodyPr wrap="none" lIns="0" tIns="0" rIns="0" bIns="0">
                        <a:noAutoFit/>
                      </wps:bodyPr>
                    </wps:wsp>
                  </a:graphicData>
                </a:graphic>
              </wp:anchor>
            </w:drawing>
          </mc:Choice>
          <mc:Fallback>
            <w:pict>
              <v:shape id="_x0000_s1047" type="#_x0000_t202" style="position:absolute;margin-left:442.pt;margin-top:1.2pt;width:85.700000000000003pt;height:19.199999999999999pt;z-index:-125829369;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6"/>
                          <w:szCs w:val="26"/>
                        </w:rPr>
                      </w:pPr>
                      <w:r>
                        <w:rPr>
                          <w:rStyle w:val="CharStyle12"/>
                          <w:color w:val="000000"/>
                          <w:sz w:val="26"/>
                          <w:szCs w:val="26"/>
                        </w:rPr>
                        <w:t>И.А. Королева</w:t>
                      </w:r>
                    </w:p>
                  </w:txbxContent>
                </v:textbox>
                <w10:wrap type="square" anchorx="page"/>
              </v:shape>
            </w:pict>
          </mc:Fallback>
        </mc:AlternateContent>
      </w:r>
      <w:r>
        <w:drawing>
          <wp:anchor distT="355600" distB="0" distL="114300" distR="1931035" simplePos="0" relativeHeight="125829386" behindDoc="0" locked="0" layoutInCell="1" allowOverlap="1">
            <wp:simplePos x="0" y="0"/>
            <wp:positionH relativeFrom="page">
              <wp:posOffset>2812415</wp:posOffset>
            </wp:positionH>
            <wp:positionV relativeFrom="paragraph">
              <wp:posOffset>877570</wp:posOffset>
            </wp:positionV>
            <wp:extent cx="298450" cy="34734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3202305</wp:posOffset>
                </wp:positionH>
                <wp:positionV relativeFrom="paragraph">
                  <wp:posOffset>938530</wp:posOffset>
                </wp:positionV>
                <wp:extent cx="1722120" cy="265430"/>
                <wp:wrapNone/>
                <wp:docPr id="25" name="Shape 25"/>
                <a:graphic xmlns:a="http://schemas.openxmlformats.org/drawingml/2006/main">
                  <a:graphicData uri="http://schemas.microsoft.com/office/word/2010/wordprocessingShape">
                    <wps:wsp>
                      <wps:cNvSpPr txBox="1"/>
                      <wps:spPr>
                        <a:xfrm>
                          <a:ext cx="1722120" cy="265430"/>
                        </a:xfrm>
                        <a:prstGeom prst="rect"/>
                        <a:noFill/>
                      </wps:spPr>
                      <wps:txbx>
                        <w:txbxContent>
                          <w:p>
                            <w:pPr>
                              <w:pStyle w:val="Style15"/>
                              <w:keepNext w:val="0"/>
                              <w:keepLines w:val="0"/>
                              <w:widowControl w:val="0"/>
                              <w:shd w:val="clear" w:color="auto" w:fill="auto"/>
                              <w:bidi w:val="0"/>
                              <w:spacing w:before="0" w:after="0"/>
                              <w:ind w:left="0" w:right="0" w:firstLine="0"/>
                              <w:jc w:val="left"/>
                            </w:pPr>
                            <w:r>
                              <w:rPr>
                                <w:rStyle w:val="CharStyle16"/>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52.15000000000001pt;margin-top:73.900000000000006pt;width:135.59999999999999pt;height:20.9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rStyle w:val="CharStyle16"/>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5"/>
          <w:b/>
          <w:bCs/>
          <w:color w:val="FFFFFF"/>
        </w:rPr>
        <w:t>СВЕДЕНИЯ О СЕРТИФИКАТЕ ЭП</w:t>
      </w:r>
    </w:p>
    <w:p>
      <w:pPr>
        <w:pStyle w:val="Style26"/>
        <w:keepNext w:val="0"/>
        <w:keepLines w:val="0"/>
        <w:widowControl w:val="0"/>
        <w:shd w:val="clear" w:color="auto" w:fill="auto"/>
        <w:bidi w:val="0"/>
        <w:spacing w:before="0" w:after="0" w:line="240" w:lineRule="auto"/>
        <w:ind w:left="0" w:right="0" w:firstLine="0"/>
        <w:jc w:val="left"/>
      </w:pPr>
      <w:r>
        <w:rPr>
          <w:rStyle w:val="CharStyle27"/>
        </w:rPr>
        <w:t xml:space="preserve">Кому выдан: </w:t>
      </w:r>
      <w:r>
        <w:rPr>
          <w:rStyle w:val="CharStyle27"/>
          <w:color w:val="000000"/>
        </w:rPr>
        <w:t>Королёва Ирина Андреевна</w:t>
      </w:r>
    </w:p>
    <w:p>
      <w:pPr>
        <w:pStyle w:val="Style26"/>
        <w:keepNext w:val="0"/>
        <w:keepLines w:val="0"/>
        <w:widowControl w:val="0"/>
        <w:shd w:val="clear" w:color="auto" w:fill="auto"/>
        <w:bidi w:val="0"/>
        <w:spacing w:before="0" w:after="0" w:line="240" w:lineRule="auto"/>
        <w:ind w:left="0" w:right="0" w:firstLine="0"/>
        <w:jc w:val="both"/>
      </w:pPr>
      <w:r>
        <w:rPr>
          <w:rStyle w:val="CharStyle27"/>
        </w:rPr>
        <w:t xml:space="preserve">Сертификат </w:t>
      </w:r>
      <w:r>
        <w:rPr>
          <w:rStyle w:val="CharStyle27"/>
          <w:color w:val="292929"/>
        </w:rPr>
        <w:t xml:space="preserve">№ </w:t>
      </w:r>
      <w:r>
        <w:rPr>
          <w:rStyle w:val="CharStyle27"/>
          <w:lang w:val="en-US" w:eastAsia="en-US"/>
        </w:rPr>
        <w:t>00C37A327BDE0B3DCB5E7D45FE744668C</w:t>
      </w:r>
      <w:r>
        <w:rPr>
          <w:rStyle w:val="CharStyle27"/>
          <w:lang w:val="en-US" w:eastAsia="en-US"/>
        </w:rPr>
        <w:t>(</w:t>
      </w:r>
    </w:p>
    <w:p>
      <w:pPr>
        <w:pStyle w:val="Style2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454" w:right="4011" w:bottom="4422" w:left="4400" w:header="0" w:footer="3" w:gutter="0"/>
          <w:cols w:space="720"/>
          <w:noEndnote/>
          <w:rtlGutter w:val="0"/>
          <w:docGrid w:linePitch="360"/>
        </w:sectPr>
      </w:pPr>
      <w:r>
        <w:rPr>
          <w:rStyle w:val="CharStyle27"/>
        </w:rPr>
        <w:t xml:space="preserve">Действителен с </w:t>
      </w:r>
      <w:r>
        <w:rPr>
          <w:rStyle w:val="CharStyle27"/>
          <w:color w:val="5E5E5E"/>
        </w:rPr>
        <w:t xml:space="preserve">30.12.2025 по </w:t>
      </w:r>
      <w:r>
        <w:rPr>
          <w:rStyle w:val="CharStyle27"/>
        </w:rPr>
        <w:t>25.03.2027</w:t>
      </w:r>
    </w:p>
    <w:p>
      <w:pPr>
        <w:widowControl w:val="0"/>
        <w:spacing w:line="1" w:lineRule="exact"/>
      </w:pPr>
      <w:r>
        <mc:AlternateContent>
          <mc:Choice Requires="wps">
            <w:drawing>
              <wp:anchor distT="0" distB="0" distL="114300" distR="114300" simplePos="0" relativeHeight="125829387" behindDoc="0" locked="0" layoutInCell="1" allowOverlap="1">
                <wp:simplePos x="0" y="0"/>
                <wp:positionH relativeFrom="page">
                  <wp:posOffset>5659120</wp:posOffset>
                </wp:positionH>
                <wp:positionV relativeFrom="paragraph">
                  <wp:posOffset>15240</wp:posOffset>
                </wp:positionV>
                <wp:extent cx="993775" cy="243840"/>
                <wp:wrapSquare wrapText="bothSides"/>
                <wp:docPr id="27" name="Shape 27"/>
                <a:graphic xmlns:a="http://schemas.openxmlformats.org/drawingml/2006/main">
                  <a:graphicData uri="http://schemas.microsoft.com/office/word/2010/wordprocessingShape">
                    <wps:wsp>
                      <wps:cNvSpPr txBox="1"/>
                      <wps:spPr>
                        <a:xfrm>
                          <a:ext cx="993775" cy="2438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6"/>
                                <w:szCs w:val="26"/>
                              </w:rPr>
                            </w:pPr>
                            <w:r>
                              <w:rPr>
                                <w:rStyle w:val="CharStyle12"/>
                                <w:color w:val="000000"/>
                                <w:sz w:val="26"/>
                                <w:szCs w:val="26"/>
                              </w:rPr>
                              <w:t>Е.С. Железов</w:t>
                            </w:r>
                          </w:p>
                        </w:txbxContent>
                      </wps:txbx>
                      <wps:bodyPr wrap="none" lIns="0" tIns="0" rIns="0" bIns="0">
                        <a:noAutoFit/>
                      </wps:bodyPr>
                    </wps:wsp>
                  </a:graphicData>
                </a:graphic>
              </wp:anchor>
            </w:drawing>
          </mc:Choice>
          <mc:Fallback>
            <w:pict>
              <v:shape id="_x0000_s1053" type="#_x0000_t202" style="position:absolute;margin-left:445.60000000000002pt;margin-top:1.2pt;width:78.25pt;height:19.199999999999999pt;z-index:-125829366;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6"/>
                          <w:szCs w:val="26"/>
                        </w:rPr>
                      </w:pPr>
                      <w:r>
                        <w:rPr>
                          <w:rStyle w:val="CharStyle12"/>
                          <w:color w:val="000000"/>
                          <w:sz w:val="26"/>
                          <w:szCs w:val="26"/>
                        </w:rPr>
                        <w:t>Е.С. Железов</w:t>
                      </w:r>
                    </w:p>
                  </w:txbxContent>
                </v:textbox>
                <w10:wrap type="square"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5"/>
          <w:b/>
          <w:bCs/>
          <w:color w:val="FFFFFF"/>
        </w:rPr>
        <w:t>СВЕДЕНИЯ О СЕРТИФИКАТЕ ЭП</w:t>
      </w:r>
    </w:p>
    <w:p>
      <w:pPr>
        <w:pStyle w:val="Style26"/>
        <w:keepNext w:val="0"/>
        <w:keepLines w:val="0"/>
        <w:widowControl w:val="0"/>
        <w:shd w:val="clear" w:color="auto" w:fill="auto"/>
        <w:bidi w:val="0"/>
        <w:spacing w:before="0" w:after="0" w:line="240" w:lineRule="auto"/>
        <w:ind w:left="0" w:right="0" w:firstLine="0"/>
        <w:jc w:val="left"/>
      </w:pPr>
      <w:r>
        <w:rPr>
          <w:rStyle w:val="CharStyle27"/>
        </w:rPr>
        <w:t xml:space="preserve">Кому выдан: </w:t>
      </w:r>
      <w:r>
        <w:rPr>
          <w:rStyle w:val="CharStyle27"/>
          <w:color w:val="000000"/>
        </w:rPr>
        <w:t>Железов Евгений Сергеевич</w:t>
      </w:r>
    </w:p>
    <w:p>
      <w:pPr>
        <w:pStyle w:val="Style26"/>
        <w:keepNext w:val="0"/>
        <w:keepLines w:val="0"/>
        <w:widowControl w:val="0"/>
        <w:shd w:val="clear" w:color="auto" w:fill="auto"/>
        <w:bidi w:val="0"/>
        <w:spacing w:before="0" w:after="0" w:line="240" w:lineRule="auto"/>
        <w:ind w:left="0" w:right="0" w:firstLine="0"/>
        <w:jc w:val="both"/>
      </w:pPr>
      <w:r>
        <w:rPr>
          <w:rStyle w:val="CharStyle27"/>
        </w:rPr>
        <w:t xml:space="preserve">Сертификат </w:t>
      </w:r>
      <w:r>
        <w:rPr>
          <w:rStyle w:val="CharStyle27"/>
          <w:color w:val="292929"/>
        </w:rPr>
        <w:t xml:space="preserve">№ </w:t>
      </w:r>
      <w:r>
        <w:rPr>
          <w:rStyle w:val="CharStyle27"/>
          <w:lang w:val="en-US" w:eastAsia="en-US"/>
        </w:rPr>
        <w:t>00F3D8B84BF14FAF6C17D2409D2067ABC</w:t>
      </w:r>
      <w:r>
        <w:rPr>
          <w:rStyle w:val="CharStyle27"/>
          <w:lang w:val="en-US" w:eastAsia="en-US"/>
        </w:rPr>
        <w:t>6</w:t>
      </w:r>
    </w:p>
    <w:p>
      <w:pPr>
        <w:pStyle w:val="Style2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454" w:right="4011" w:bottom="4422" w:left="4400" w:header="0" w:footer="3" w:gutter="0"/>
          <w:cols w:space="720"/>
          <w:noEndnote/>
          <w:rtlGutter w:val="0"/>
          <w:docGrid w:linePitch="360"/>
        </w:sectPr>
      </w:pPr>
      <w:r>
        <w:rPr>
          <w:rStyle w:val="CharStyle27"/>
        </w:rPr>
        <w:t xml:space="preserve">Действителен с 02.04.2026 </w:t>
      </w:r>
      <w:r>
        <w:rPr>
          <w:rStyle w:val="CharStyle27"/>
          <w:color w:val="5E5E5E"/>
        </w:rPr>
        <w:t xml:space="preserve">по </w:t>
      </w:r>
      <w:r>
        <w:rPr>
          <w:rStyle w:val="CharStyle27"/>
        </w:rPr>
        <w:t>26.06.2027</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59" w:right="0" w:bottom="869" w:left="0" w:header="0" w:footer="3" w:gutter="0"/>
          <w:cols w:space="720"/>
          <w:noEndnote/>
          <w:rtlGutter w:val="0"/>
          <w:docGrid w:linePitch="360"/>
        </w:sectPr>
      </w:pPr>
    </w:p>
    <w:p>
      <w:pPr>
        <w:pStyle w:val="Style33"/>
        <w:keepNext/>
        <w:keepLines/>
        <w:framePr w:w="2112" w:h="571" w:wrap="none" w:vAnchor="text" w:hAnchor="page" w:x="1108" w:y="21"/>
        <w:widowControl w:val="0"/>
        <w:shd w:val="clear" w:color="auto" w:fill="auto"/>
        <w:bidi w:val="0"/>
        <w:spacing w:before="0" w:after="0" w:line="240" w:lineRule="auto"/>
        <w:ind w:left="0" w:right="0" w:firstLine="0"/>
        <w:jc w:val="left"/>
      </w:pPr>
      <w:bookmarkStart w:id="4" w:name="bookmark4"/>
      <w:r>
        <w:rPr>
          <w:rStyle w:val="CharStyle34"/>
        </w:rPr>
        <w:t>Исп.Железов Е.С.</w:t>
      </w:r>
      <w:bookmarkEnd w:id="4"/>
    </w:p>
    <w:p>
      <w:pPr>
        <w:pStyle w:val="Style33"/>
        <w:keepNext/>
        <w:keepLines/>
        <w:framePr w:w="2112" w:h="571" w:wrap="none" w:vAnchor="text" w:hAnchor="page" w:x="1108" w:y="21"/>
        <w:widowControl w:val="0"/>
        <w:shd w:val="clear" w:color="auto" w:fill="auto"/>
        <w:bidi w:val="0"/>
        <w:spacing w:before="0" w:after="0" w:line="240" w:lineRule="auto"/>
        <w:ind w:left="0" w:right="0" w:firstLine="0"/>
        <w:jc w:val="left"/>
      </w:pPr>
      <w:r>
        <w:rPr>
          <w:rStyle w:val="CharStyle34"/>
        </w:rPr>
        <w:t>тел.052-803 431-73-88</w:t>
      </w:r>
    </w:p>
    <w:p>
      <w:pPr>
        <w:widowControl w:val="0"/>
        <w:spacing w:after="570" w:line="1" w:lineRule="exact"/>
      </w:pPr>
    </w:p>
    <w:p>
      <w:pPr>
        <w:widowControl w:val="0"/>
        <w:spacing w:line="1" w:lineRule="exact"/>
      </w:pPr>
    </w:p>
    <w:sectPr>
      <w:footnotePr>
        <w:pos w:val="pageBottom"/>
        <w:numFmt w:val="decimal"/>
        <w:numRestart w:val="continuous"/>
      </w:footnotePr>
      <w:type w:val="continuous"/>
      <w:pgSz w:w="11900" w:h="16840"/>
      <w:pgMar w:top="1459" w:right="1347" w:bottom="869" w:left="110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810260</wp:posOffset>
              </wp:positionH>
              <wp:positionV relativeFrom="page">
                <wp:posOffset>10222230</wp:posOffset>
              </wp:positionV>
              <wp:extent cx="728345" cy="103505"/>
              <wp:wrapNone/>
              <wp:docPr id="5" name="Shape 5"/>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2026-11666</w:t>
                          </w:r>
                        </w:p>
                      </w:txbxContent>
                    </wps:txbx>
                    <wps:bodyPr wrap="none" lIns="0" tIns="0" rIns="0" bIns="0">
                      <a:spAutoFit/>
                    </wps:bodyPr>
                  </wps:wsp>
                </a:graphicData>
              </a:graphic>
            </wp:anchor>
          </w:drawing>
        </mc:Choice>
        <mc:Fallback>
          <w:pict>
            <v:shape id="_x0000_s1031" type="#_x0000_t202" style="position:absolute;margin-left:63.800000000000004pt;margin-top:804.89999999999998pt;width:57.350000000000001pt;height:8.1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2026-11666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891540</wp:posOffset>
              </wp:positionH>
              <wp:positionV relativeFrom="page">
                <wp:posOffset>10037445</wp:posOffset>
              </wp:positionV>
              <wp:extent cx="728345" cy="103505"/>
              <wp:wrapNone/>
              <wp:docPr id="7" name="Shape 7"/>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2026-11666</w:t>
                          </w:r>
                        </w:p>
                      </w:txbxContent>
                    </wps:txbx>
                    <wps:bodyPr wrap="none" lIns="0" tIns="0" rIns="0" bIns="0">
                      <a:spAutoFit/>
                    </wps:bodyPr>
                  </wps:wsp>
                </a:graphicData>
              </a:graphic>
            </wp:anchor>
          </w:drawing>
        </mc:Choice>
        <mc:Fallback>
          <w:pict>
            <v:shape id="_x0000_s1033" type="#_x0000_t202" style="position:absolute;margin-left:70.200000000000003pt;margin-top:790.35000000000002pt;width:57.350000000000001pt;height:8.15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2026-11666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3862705</wp:posOffset>
              </wp:positionH>
              <wp:positionV relativeFrom="page">
                <wp:posOffset>742950</wp:posOffset>
              </wp:positionV>
              <wp:extent cx="128270" cy="73025"/>
              <wp:wrapNone/>
              <wp:docPr id="3" name="Shape 3"/>
              <a:graphic xmlns:a="http://schemas.openxmlformats.org/drawingml/2006/main">
                <a:graphicData uri="http://schemas.microsoft.com/office/word/2010/wordprocessingShape">
                  <wps:wsp>
                    <wps:cNvSpPr txBox="1"/>
                    <wps:spPr>
                      <a:xfrm>
                        <a:ext cx="128270"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4.15000000000003pt;margin-top:58.5pt;width:10.1pt;height:5.75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111111"/>
        <w:spacing w:val="0"/>
        <w:w w:val="100"/>
        <w:position w:val="0"/>
        <w:sz w:val="28"/>
        <w:szCs w:val="28"/>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111111"/>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4609E"/>
      <w:sz w:val="20"/>
      <w:szCs w:val="20"/>
      <w:u w:val="none"/>
    </w:rPr>
  </w:style>
  <w:style w:type="character" w:customStyle="1" w:styleId="CharStyle9">
    <w:name w:val="Heading #1_"/>
    <w:basedOn w:val="DefaultParagraphFont"/>
    <w:link w:val="Style8"/>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color w:val="111111"/>
      <w:sz w:val="28"/>
      <w:szCs w:val="28"/>
      <w:u w:val="none"/>
    </w:rPr>
  </w:style>
  <w:style w:type="character" w:customStyle="1" w:styleId="CharStyle16">
    <w:name w:val="Picture caption_"/>
    <w:basedOn w:val="DefaultParagraphFont"/>
    <w:link w:val="Style15"/>
    <w:rPr>
      <w:rFonts w:ascii="Georgia" w:eastAsia="Georgia" w:hAnsi="Georgia" w:cs="Georgia"/>
      <w:b/>
      <w:bCs/>
      <w:i w:val="0"/>
      <w:iCs w:val="0"/>
      <w:smallCaps w:val="0"/>
      <w:strike w:val="0"/>
      <w:color w:val="292929"/>
      <w:sz w:val="9"/>
      <w:szCs w:val="9"/>
      <w:u w:val="none"/>
    </w:rPr>
  </w:style>
  <w:style w:type="character" w:customStyle="1" w:styleId="CharStyle20">
    <w:name w:val="Table caption_"/>
    <w:basedOn w:val="DefaultParagraphFont"/>
    <w:link w:val="Style19"/>
    <w:rPr>
      <w:rFonts w:ascii="Times New Roman" w:eastAsia="Times New Roman" w:hAnsi="Times New Roman" w:cs="Times New Roman"/>
      <w:b w:val="0"/>
      <w:bCs w:val="0"/>
      <w:i w:val="0"/>
      <w:iCs w:val="0"/>
      <w:smallCaps w:val="0"/>
      <w:strike w:val="0"/>
      <w:color w:val="111111"/>
      <w:sz w:val="28"/>
      <w:szCs w:val="28"/>
      <w:u w:val="none"/>
    </w:rPr>
  </w:style>
  <w:style w:type="character" w:customStyle="1" w:styleId="CharStyle22">
    <w:name w:val="Other_"/>
    <w:basedOn w:val="DefaultParagraphFont"/>
    <w:link w:val="Style21"/>
    <w:rPr>
      <w:rFonts w:ascii="Times New Roman" w:eastAsia="Times New Roman" w:hAnsi="Times New Roman" w:cs="Times New Roman"/>
      <w:b w:val="0"/>
      <w:bCs w:val="0"/>
      <w:i w:val="0"/>
      <w:iCs w:val="0"/>
      <w:smallCaps w:val="0"/>
      <w:strike w:val="0"/>
      <w:sz w:val="20"/>
      <w:szCs w:val="20"/>
      <w:u w:val="none"/>
    </w:rPr>
  </w:style>
  <w:style w:type="character" w:customStyle="1" w:styleId="CharStyle25">
    <w:name w:val="Body text (4)_"/>
    <w:basedOn w:val="DefaultParagraphFont"/>
    <w:link w:val="Style24"/>
    <w:rPr>
      <w:rFonts w:ascii="Times New Roman" w:eastAsia="Times New Roman" w:hAnsi="Times New Roman" w:cs="Times New Roman"/>
      <w:b/>
      <w:bCs/>
      <w:i w:val="0"/>
      <w:iCs w:val="0"/>
      <w:smallCaps w:val="0"/>
      <w:strike w:val="0"/>
      <w:color w:val="EBEBEB"/>
      <w:sz w:val="12"/>
      <w:szCs w:val="12"/>
      <w:u w:val="none"/>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04040"/>
      <w:sz w:val="12"/>
      <w:szCs w:val="12"/>
      <w:u w:val="none"/>
    </w:rPr>
  </w:style>
  <w:style w:type="character" w:customStyle="1" w:styleId="CharStyle32">
    <w:name w:val="Heading #2_"/>
    <w:basedOn w:val="DefaultParagraphFont"/>
    <w:link w:val="Style31"/>
    <w:rPr>
      <w:rFonts w:ascii="Times New Roman" w:eastAsia="Times New Roman" w:hAnsi="Times New Roman" w:cs="Times New Roman"/>
      <w:b w:val="0"/>
      <w:bCs w:val="0"/>
      <w:i w:val="0"/>
      <w:iCs w:val="0"/>
      <w:smallCaps w:val="0"/>
      <w:strike w:val="0"/>
      <w:sz w:val="26"/>
      <w:szCs w:val="26"/>
      <w:u w:val="none"/>
    </w:rPr>
  </w:style>
  <w:style w:type="character" w:customStyle="1" w:styleId="CharStyle34">
    <w:name w:val="Heading #3_"/>
    <w:basedOn w:val="DefaultParagraphFont"/>
    <w:link w:val="Style3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4609E"/>
      <w:sz w:val="20"/>
      <w:szCs w:val="20"/>
      <w:u w:val="none"/>
    </w:rPr>
  </w:style>
  <w:style w:type="paragraph" w:customStyle="1" w:styleId="Style8">
    <w:name w:val="Heading #1"/>
    <w:basedOn w:val="Normal"/>
    <w:link w:val="CharStyle9"/>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color w:val="111111"/>
      <w:sz w:val="28"/>
      <w:szCs w:val="28"/>
      <w:u w:val="none"/>
    </w:rPr>
  </w:style>
  <w:style w:type="paragraph" w:customStyle="1" w:styleId="Style15">
    <w:name w:val="Picture caption"/>
    <w:basedOn w:val="Normal"/>
    <w:link w:val="CharStyle16"/>
    <w:pPr>
      <w:widowControl w:val="0"/>
      <w:shd w:val="clear" w:color="auto" w:fill="auto"/>
      <w:spacing w:line="293" w:lineRule="auto"/>
    </w:pPr>
    <w:rPr>
      <w:rFonts w:ascii="Georgia" w:eastAsia="Georgia" w:hAnsi="Georgia" w:cs="Georgia"/>
      <w:b/>
      <w:bCs/>
      <w:i w:val="0"/>
      <w:iCs w:val="0"/>
      <w:smallCaps w:val="0"/>
      <w:strike w:val="0"/>
      <w:color w:val="292929"/>
      <w:sz w:val="9"/>
      <w:szCs w:val="9"/>
      <w:u w:val="none"/>
    </w:rPr>
  </w:style>
  <w:style w:type="paragraph" w:customStyle="1" w:styleId="Style19">
    <w:name w:val="Table caption"/>
    <w:basedOn w:val="Normal"/>
    <w:link w:val="CharStyle20"/>
    <w:pPr>
      <w:widowControl w:val="0"/>
      <w:shd w:val="clear" w:color="auto" w:fill="auto"/>
      <w:jc w:val="center"/>
    </w:pPr>
    <w:rPr>
      <w:rFonts w:ascii="Times New Roman" w:eastAsia="Times New Roman" w:hAnsi="Times New Roman" w:cs="Times New Roman"/>
      <w:b w:val="0"/>
      <w:bCs w:val="0"/>
      <w:i w:val="0"/>
      <w:iCs w:val="0"/>
      <w:smallCaps w:val="0"/>
      <w:strike w:val="0"/>
      <w:color w:val="111111"/>
      <w:sz w:val="28"/>
      <w:szCs w:val="28"/>
      <w:u w:val="none"/>
    </w:rPr>
  </w:style>
  <w:style w:type="paragraph" w:customStyle="1" w:styleId="Style21">
    <w:name w:val="Other"/>
    <w:basedOn w:val="Normal"/>
    <w:link w:val="CharStyle22"/>
    <w:pPr>
      <w:widowControl w:val="0"/>
      <w:shd w:val="clear" w:color="auto" w:fill="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24">
    <w:name w:val="Body text (4)"/>
    <w:basedOn w:val="Normal"/>
    <w:link w:val="CharStyle25"/>
    <w:pPr>
      <w:widowControl w:val="0"/>
      <w:shd w:val="clear" w:color="auto" w:fill="auto"/>
      <w:spacing w:after="100"/>
      <w:jc w:val="center"/>
    </w:pPr>
    <w:rPr>
      <w:rFonts w:ascii="Times New Roman" w:eastAsia="Times New Roman" w:hAnsi="Times New Roman" w:cs="Times New Roman"/>
      <w:b/>
      <w:bCs/>
      <w:i w:val="0"/>
      <w:iCs w:val="0"/>
      <w:smallCaps w:val="0"/>
      <w:strike w:val="0"/>
      <w:color w:val="EBEBEB"/>
      <w:sz w:val="12"/>
      <w:szCs w:val="12"/>
      <w:u w:val="none"/>
    </w:rPr>
  </w:style>
  <w:style w:type="paragraph" w:customStyle="1" w:styleId="Style26">
    <w:name w:val="Body text (2)"/>
    <w:basedOn w:val="Normal"/>
    <w:link w:val="CharStyle27"/>
    <w:pPr>
      <w:widowControl w:val="0"/>
      <w:shd w:val="clear" w:color="auto" w:fill="auto"/>
    </w:pPr>
    <w:rPr>
      <w:rFonts w:ascii="Arial" w:eastAsia="Arial" w:hAnsi="Arial" w:cs="Arial"/>
      <w:b w:val="0"/>
      <w:bCs w:val="0"/>
      <w:i w:val="0"/>
      <w:iCs w:val="0"/>
      <w:smallCaps w:val="0"/>
      <w:strike w:val="0"/>
      <w:color w:val="404040"/>
      <w:sz w:val="12"/>
      <w:szCs w:val="12"/>
      <w:u w:val="none"/>
    </w:rPr>
  </w:style>
  <w:style w:type="paragraph" w:customStyle="1" w:styleId="Style31">
    <w:name w:val="Heading #2"/>
    <w:basedOn w:val="Normal"/>
    <w:link w:val="CharStyle32"/>
    <w:pPr>
      <w:widowControl w:val="0"/>
      <w:shd w:val="clear" w:color="auto" w:fill="auto"/>
      <w:outlineLvl w:val="1"/>
    </w:pPr>
    <w:rPr>
      <w:rFonts w:ascii="Times New Roman" w:eastAsia="Times New Roman" w:hAnsi="Times New Roman" w:cs="Times New Roman"/>
      <w:b w:val="0"/>
      <w:bCs w:val="0"/>
      <w:i w:val="0"/>
      <w:iCs w:val="0"/>
      <w:smallCaps w:val="0"/>
      <w:strike w:val="0"/>
      <w:sz w:val="26"/>
      <w:szCs w:val="26"/>
      <w:u w:val="none"/>
    </w:rPr>
  </w:style>
  <w:style w:type="paragraph" w:customStyle="1" w:styleId="Style33">
    <w:name w:val="Heading #3"/>
    <w:basedOn w:val="Normal"/>
    <w:link w:val="CharStyle34"/>
    <w:pPr>
      <w:widowControl w:val="0"/>
      <w:shd w:val="clear" w:color="auto" w:fill="auto"/>
      <w:outlineLvl w:val="2"/>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

<file path=docProps/core.xml><?xml version="1.0" encoding="utf-8"?>
<cp:coreProperties xmlns:cp="http://schemas.openxmlformats.org/package/2006/metadata/core-properties" xmlns:dc="http://purl.org/dc/elements/1.1/">
  <dc:title>Федеральный закон от 18.07.2011 N 223-ФЗ(ред. от 08.08.2024)"О закупках товаров, работ, услуг отдельными видами юридических лиц"(с изм. и доп., вступ. в силу с 01.01.2025)</dc:title>
  <dc:subject/>
  <dc:creator/>
  <cp:keywords/>
</cp:coreProperties>
</file>