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24510" cy="56705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5670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7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560" w:bottom="1225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Воронежской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</w:rPr>
        <w:t>пр-кт Революции, 21, г. Воронеж, 394036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</w:rPr>
        <w:t>тел./факс+7 (473) 255-92-44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"mailto:to36@fas.gov.ru"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to36@fas.gov.ru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9.05.2026</w:t>
        <w:tab/>
      </w:r>
      <w:r>
        <w:fldChar w:fldCharType="end"/>
      </w:r>
      <w:r>
        <w:rPr>
          <w:rStyle w:val="CharStyle10"/>
        </w:rPr>
        <w:t>№ РК/2772/26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left"/>
      </w:pPr>
      <w:r>
        <w:rPr>
          <w:rStyle w:val="CharStyle6"/>
        </w:rPr>
        <w:t xml:space="preserve">На 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решение № 036/06/105-519/2026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Управление муниципальных закупок администрации городского округа город Воронеж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rStyle w:val="CharStyle14"/>
        </w:rPr>
        <w:t>394051, Воронежская обл., г. Воронеж, ул. Домостроителей, 30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"mailto:munzak@cityhall.voronezh-city.ru" </w:instrText>
      </w:r>
      <w:r>
        <w:fldChar w:fldCharType="separate"/>
      </w:r>
      <w:r>
        <w:rPr>
          <w:rStyle w:val="CharStyle14"/>
          <w:lang w:val="en-US" w:eastAsia="en-US"/>
        </w:rPr>
        <w:t>munzak@cityhall.voronezh-city.ru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ОБЩЕСТВО С ОГРАНИЧЕННОЙ ОТВЕТСТВЕННОСТЬЮ "МЕГАЛАЙН"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685030, МАГАДАНСКАЯ ОБЛАСТЬ, г.о. ГОРОД МАГАДАН, Г. МАГАДАН, УЛ. БОЛДЫРЕВА, ДВЛД. 8А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632" w:bottom="1217" w:left="1130" w:header="0" w:footer="3" w:gutter="0"/>
          <w:cols w:num="2" w:space="720" w:equalWidth="0">
            <w:col w:w="4171" w:space="1104"/>
            <w:col w:w="4862"/>
          </w:cols>
          <w:noEndnote/>
          <w:rtlGutter w:val="0"/>
          <w:docGrid w:linePitch="360"/>
        </w:sectPr>
      </w:pPr>
      <w:r>
        <w:fldChar w:fldCharType="begin"/>
      </w:r>
      <w:r>
        <w:rPr/>
        <w:instrText> HYPERLINK "mailto:porockiy@mega-line.org" </w:instrText>
      </w:r>
      <w:r>
        <w:fldChar w:fldCharType="separate"/>
      </w:r>
      <w:r>
        <w:rPr>
          <w:rStyle w:val="CharStyle14"/>
          <w:lang w:val="en-US" w:eastAsia="en-US"/>
        </w:rPr>
        <w:t>porockiy@mega-line.org</w:t>
      </w:r>
      <w:r>
        <w:fldChar w:fldCharType="end"/>
      </w:r>
    </w:p>
    <w:p>
      <w:pPr>
        <w:widowControl w:val="0"/>
        <w:spacing w:line="123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02" w:right="0" w:bottom="120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14"/>
        </w:rPr>
        <w:t>МКУ «Управление по делам гражданской обороны и чрезвычайным ситуациям администрации городского округа город Воронеж»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14"/>
        </w:rPr>
        <w:t>394018, Воронежская обл., г. Воронеж, ул. Платонова, 25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5320" w:right="0" w:firstLine="0"/>
        <w:jc w:val="left"/>
      </w:pPr>
      <w:r>
        <w:rPr>
          <w:rStyle w:val="CharStyle14"/>
          <w:lang w:val="en-US" w:eastAsia="en-US"/>
        </w:rPr>
        <w:t>zacupki@emercom.vrn.ru,</w:t>
      </w:r>
      <w:r>
        <w:fldChar w:fldCharType="begin"/>
      </w:r>
      <w:r>
        <w:rPr/>
        <w:instrText> HYPERLINK "mailto:go@cityhall.vor" </w:instrText>
      </w:r>
      <w:r>
        <w:fldChar w:fldCharType="separate"/>
      </w:r>
      <w:r>
        <w:rPr>
          <w:rStyle w:val="CharStyle14"/>
          <w:lang w:val="en-US" w:eastAsia="en-US"/>
        </w:rPr>
        <w:t>go@cityhall.vor</w:t>
      </w:r>
      <w:r>
        <w:fldChar w:fldCharType="end"/>
      </w:r>
      <w:r>
        <w:rPr>
          <w:rStyle w:val="CharStyle14"/>
          <w:lang w:val="en-US" w:eastAsia="en-US"/>
        </w:rPr>
        <w:t xml:space="preserve"> onezh-</w:t>
      </w:r>
      <w:r>
        <w:rPr>
          <w:rStyle w:val="CharStyle14"/>
          <w:lang w:val="en-US" w:eastAsia="en-US"/>
        </w:rPr>
        <w:t>city.ru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4"/>
          <w:b/>
          <w:bCs/>
        </w:rPr>
        <w:t>Р Е Ш Е Н И 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740" w:right="0" w:firstLine="100"/>
        <w:jc w:val="left"/>
      </w:pPr>
      <w:r>
        <w:rPr>
          <w:rStyle w:val="CharStyle14"/>
        </w:rPr>
        <w:t>по результатам рассмотрения жалобы ООО «МЕГАЛАЙН» на действия МКУ «Управление по делам гражданской обороны и чрезвычайным ситуациям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4"/>
        </w:rPr>
        <w:t>администрации городского округа город Воронеж» при проведении электронного</w:t>
        <w:br/>
        <w:t>аукциона на поставку оборудования для развития и поддержания в технически</w:t>
        <w:br/>
        <w:t>исправном состоянии Муниципальной системы оповещения городского округа город</w:t>
        <w:br/>
        <w:t>Воронеж (номер извещения 0131300000626000555)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4"/>
        </w:rPr>
        <w:t>(Дело № 036/06/105-519/2026)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846" w:val="left"/>
        </w:tabs>
        <w:bidi w:val="0"/>
        <w:spacing w:before="0" w:after="480"/>
        <w:ind w:left="0" w:right="0" w:firstLine="0"/>
        <w:jc w:val="left"/>
      </w:pPr>
      <w:r>
        <w:rPr>
          <w:rStyle w:val="CharStyle14"/>
        </w:rPr>
        <w:t>14.05.2026 г.</w:t>
        <w:tab/>
        <w:t>г. Воронеж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rStyle w:val="CharStyle17"/>
        </w:rPr>
        <w:t>IIIIIIIIIIIIIIIIIIIIIIII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380" w:right="0" w:firstLine="0"/>
        <w:jc w:val="both"/>
      </w:pPr>
      <w:r>
        <w:rPr>
          <w:rStyle w:val="CharStyle14"/>
        </w:rPr>
        <w:t xml:space="preserve">Резолютивная часть настоящего решения объявлена </w:t>
      </w:r>
      <w:r>
        <w:rPr>
          <w:rStyle w:val="CharStyle14"/>
          <w:lang w:val="en-US" w:eastAsia="en-US"/>
        </w:rPr>
        <w:t xml:space="preserve">14.05.2026 </w:t>
      </w:r>
      <w:r>
        <w:rPr>
          <w:rStyle w:val="CharStyle14"/>
        </w:rPr>
        <w:t>года.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2160" w:right="0" w:firstLine="0"/>
        <w:jc w:val="both"/>
      </w:pPr>
      <w:r>
        <w:rPr>
          <w:rStyle w:val="CharStyle14"/>
        </w:rPr>
        <w:t xml:space="preserve">В полном объеме решение изготовлено </w:t>
      </w:r>
      <w:r>
        <w:rPr>
          <w:rStyle w:val="CharStyle14"/>
          <w:lang w:val="en-US" w:eastAsia="en-US"/>
        </w:rPr>
        <w:t xml:space="preserve">18.05.2026 </w:t>
      </w:r>
      <w:r>
        <w:rPr>
          <w:rStyle w:val="CharStyle14"/>
        </w:rPr>
        <w:t>года.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720"/>
        <w:jc w:val="both"/>
      </w:pPr>
      <w:r>
        <w:rPr>
          <w:rStyle w:val="CharStyle14"/>
        </w:rPr>
        <w:t>Комиссия Управления Федеральной антимонопольной службы по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4"/>
        </w:rPr>
        <w:t xml:space="preserve">Воронежской области по контролю в сфере закупок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Комиссия) в составе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120" w:line="240" w:lineRule="auto"/>
        <w:ind w:left="0" w:right="0" w:firstLine="720"/>
        <w:jc w:val="both"/>
      </w:pPr>
      <w:r>
        <w:rPr>
          <w:rStyle w:val="CharStyle14"/>
        </w:rPr>
        <w:t xml:space="preserve">Колмаков Р.В.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председатель Комиссии, заместитель руководителя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w:rPr>
          <w:rStyle w:val="CharStyle14"/>
        </w:rPr>
        <w:t>управления,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120" w:line="240" w:lineRule="auto"/>
        <w:ind w:left="0" w:right="0" w:firstLine="720"/>
        <w:jc w:val="both"/>
      </w:pPr>
      <w:r>
        <w:rPr>
          <w:rStyle w:val="CharStyle14"/>
        </w:rPr>
        <w:t xml:space="preserve">Тельпов И.А.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заместитель председателя Комиссии, заместитель начальника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w:rPr>
          <w:rStyle w:val="CharStyle14"/>
        </w:rPr>
        <w:t>отдела контроля закупок,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120" w:line="240" w:lineRule="auto"/>
        <w:ind w:left="0" w:right="0" w:firstLine="720"/>
        <w:jc w:val="both"/>
      </w:pPr>
      <w:r>
        <w:rPr>
          <w:rStyle w:val="CharStyle14"/>
        </w:rPr>
        <w:t xml:space="preserve">Гуськова У.А.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член Комиссии, государственный инспектор отдела контроля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w:rPr>
          <w:rStyle w:val="CharStyle14"/>
        </w:rPr>
        <w:t>закупок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20"/>
        <w:jc w:val="both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3267075</wp:posOffset>
                </wp:positionH>
                <wp:positionV relativeFrom="paragraph">
                  <wp:posOffset>12700</wp:posOffset>
                </wp:positionV>
                <wp:extent cx="1649095" cy="25019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90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ООО «МЕГАЛАЙН»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57.25pt;margin-top:1.pt;width:129.84999999999999pt;height:19.699999999999999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ООО «МЕГАЛАЙН»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</w:rPr>
        <w:t>при участии представителя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Щелкова А.П. (доверенность б/н от </w:t>
      </w:r>
      <w:r>
        <w:rPr>
          <w:rStyle w:val="CharStyle14"/>
          <w:lang w:val="en-US" w:eastAsia="en-US"/>
        </w:rPr>
        <w:t xml:space="preserve">11.05.2026 </w:t>
      </w:r>
      <w:r>
        <w:rPr>
          <w:rStyle w:val="CharStyle14"/>
        </w:rPr>
        <w:t>г.);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при участии представителей МКУ «Управление по делам гражданской обороны и чрезвычайным ситуациям администрации городского округа город Воронеж»: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Соколова С.А. (доверенность </w:t>
      </w:r>
      <w:r>
        <w:rPr>
          <w:rStyle w:val="CharStyle14"/>
          <w:lang w:val="en-US" w:eastAsia="en-US"/>
        </w:rPr>
        <w:t xml:space="preserve">№ 6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07.05.2026 </w:t>
      </w:r>
      <w:r>
        <w:rPr>
          <w:rStyle w:val="CharStyle14"/>
        </w:rPr>
        <w:t>г.);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720"/>
        <w:jc w:val="both"/>
      </w:pPr>
      <w:r>
        <w:rPr>
          <w:rStyle w:val="CharStyle14"/>
        </w:rPr>
        <w:t>при участии представителя Управления муниципальных закупок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4"/>
        </w:rPr>
        <w:t>администрации городского округа город Воронеж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Меркуловой Е.М. (доверенность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б/н от </w:t>
      </w:r>
      <w:r>
        <w:rPr>
          <w:rStyle w:val="CharStyle14"/>
          <w:lang w:val="en-US" w:eastAsia="en-US"/>
        </w:rPr>
        <w:t xml:space="preserve">12.02.2026 </w:t>
      </w:r>
      <w:r>
        <w:rPr>
          <w:rStyle w:val="CharStyle14"/>
        </w:rPr>
        <w:t>г.);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720"/>
        <w:jc w:val="both"/>
      </w:pPr>
      <w:r>
        <w:rPr>
          <w:rStyle w:val="CharStyle14"/>
        </w:rPr>
        <w:t>рассмотрев жалобу ООО «МЕГАЛАЙН» на действия МКУ «Управление по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rStyle w:val="CharStyle14"/>
        </w:rPr>
        <w:t>делам гражданской обороны и чрезвычайным ситуациям администрации городского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both"/>
      </w:pPr>
      <w:r>
        <w:rPr>
          <w:rStyle w:val="CharStyle14"/>
        </w:rPr>
        <w:t xml:space="preserve">округа город Воронеж» при проведении электронного аукциона на поставку оборудования для развития и поддержания в технически исправном состоянии Муниципальной системы оповещения городского округа город Воронеж (номер извещения </w:t>
      </w:r>
      <w:r>
        <w:rPr>
          <w:rStyle w:val="CharStyle14"/>
          <w:lang w:val="en-US" w:eastAsia="en-US"/>
        </w:rPr>
        <w:t>0131300000626000555),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720"/>
        <w:jc w:val="both"/>
      </w:pPr>
      <w:r>
        <w:rPr>
          <w:rStyle w:val="CharStyle14"/>
          <w:b/>
          <w:bCs/>
        </w:rPr>
        <w:t>УСТАНОВИЛА: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 Управление Федеральной антимонопольной службы по Воронежской области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Воронежское УФАС России) поступила жалоба ООО «МЕГАЛАЙН»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Заявитель) на действия МКУ «Управление по делам гражданской обороны и чрезвычайным ситуациям администрации городского округа город Воронеж»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Заказчик) при проведении электронного аукциона на поставку оборудования для развития и поддержания в технически исправном состоянии Муниципальной системы оповещения городского округа город Воронеж (номер извещения </w:t>
      </w:r>
      <w:r>
        <w:rPr>
          <w:rStyle w:val="CharStyle14"/>
          <w:lang w:val="en-US" w:eastAsia="en-US"/>
        </w:rPr>
        <w:t>0131300000626000555).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По мнению Заявителя, действия Заказчика нарушают положения Федерального закона от </w:t>
      </w:r>
      <w:r>
        <w:rPr>
          <w:rStyle w:val="CharStyle14"/>
          <w:lang w:val="en-US" w:eastAsia="en-US"/>
        </w:rPr>
        <w:t xml:space="preserve">05.04.2013 </w:t>
      </w:r>
      <w:r>
        <w:rPr>
          <w:rStyle w:val="CharStyle14"/>
        </w:rPr>
        <w:t xml:space="preserve">года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44-ФЗ «О контрактной системе в сфере закупок товаров, работ, услуг, для обеспечения государственных и муниципальных нужд»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Закон о контрактной системе), что выразилось в следующем: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3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Заказчик нарушил положения Закона о контрактной системе в части описания объекта закупки (Статья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системе): разместил описание объекта закупки с противоречивой информацией;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3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 составе закупочной документации размещена проектная документация, не соответствующая требованиям постановления Правительства РФ от </w:t>
      </w:r>
      <w:r>
        <w:rPr>
          <w:rStyle w:val="CharStyle14"/>
          <w:lang w:val="en-US" w:eastAsia="en-US"/>
        </w:rPr>
        <w:t xml:space="preserve">17 </w:t>
      </w:r>
      <w:r>
        <w:rPr>
          <w:rStyle w:val="CharStyle14"/>
        </w:rPr>
        <w:t xml:space="preserve">мая </w:t>
      </w:r>
      <w:r>
        <w:rPr>
          <w:rStyle w:val="CharStyle14"/>
          <w:lang w:val="en-US" w:eastAsia="en-US"/>
        </w:rPr>
        <w:t xml:space="preserve">2023 </w:t>
      </w:r>
      <w:r>
        <w:rPr>
          <w:rStyle w:val="CharStyle14"/>
        </w:rPr>
        <w:t xml:space="preserve">г. </w:t>
      </w:r>
      <w:r>
        <w:rPr>
          <w:rStyle w:val="CharStyle14"/>
          <w:lang w:val="en-US" w:eastAsia="en-US"/>
        </w:rPr>
        <w:t xml:space="preserve">№ 769 </w:t>
      </w:r>
      <w:r>
        <w:rPr>
          <w:rStyle w:val="CharStyle14"/>
        </w:rPr>
        <w:t>«О порядке создания, реконструкции и поддержания в состоянии постоянной готовности к использованию систем оповещения населения».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Заказчиком и Уполномоченным органом представлены возражения на жалобу Заявителя. Из указанных возражений следует, что Заказчик и Уполномоченный орган считают доводы жалобы необоснованными и не подлежащими удовлетворению.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Изучив материалы дела, предоставленные доказательства, а также осуществив внеплановую проверку настоящей закупки, Комиссия Воронежского УФАС России установила следующее.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96" w:val="left"/>
        </w:tabs>
        <w:bidi w:val="0"/>
        <w:spacing w:before="0" w:after="0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02" w:right="549" w:bottom="1200" w:left="1103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  <w:lang w:val="en-US" w:eastAsia="en-US"/>
        </w:rPr>
        <w:t xml:space="preserve">04.2026 </w:t>
      </w:r>
      <w:r>
        <w:rPr>
          <w:rStyle w:val="CharStyle14"/>
        </w:rPr>
        <w:t xml:space="preserve">года в Единой информационной системе размещено Извещение </w:t>
      </w:r>
      <w:r>
        <w:rPr>
          <w:rStyle w:val="CharStyle14"/>
          <w:lang w:val="en-US" w:eastAsia="en-US"/>
        </w:rPr>
        <w:t xml:space="preserve">№ 0131300000626000555 </w:t>
      </w:r>
      <w:r>
        <w:rPr>
          <w:rStyle w:val="CharStyle14"/>
        </w:rPr>
        <w:t xml:space="preserve">о проведении электронного аукциона на поставку оборудования для развития и поддержания в технически исправном состоянии Муниципальной системы оповещения городского округа город Воронеж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Извещение).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Начальная (максимальная) цена контракта составляет </w:t>
      </w:r>
      <w:r>
        <w:rPr>
          <w:rStyle w:val="CharStyle14"/>
          <w:lang w:val="en-US" w:eastAsia="en-US"/>
        </w:rPr>
        <w:t xml:space="preserve">– 40 150 198,08 </w:t>
      </w:r>
      <w:r>
        <w:rPr>
          <w:rStyle w:val="CharStyle14"/>
        </w:rPr>
        <w:t>руб.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Закупка вне рамок национального проекта, код бюджетной классификации Российской Федерации: </w:t>
      </w:r>
      <w:r>
        <w:rPr>
          <w:rStyle w:val="CharStyle14"/>
          <w:lang w:val="en-US" w:eastAsia="en-US"/>
        </w:rPr>
        <w:t>93803101000281430244.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 силу части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24 </w:t>
      </w:r>
      <w:r>
        <w:rPr>
          <w:rStyle w:val="CharStyle14"/>
        </w:rPr>
        <w:t xml:space="preserve">Закона о контрактной системе, под электронным аукционом понимается конкурентный способ определения поставщиков, при котором победителем электронной процедуры признается участник закупки, заявка на участие в закупке которого соответствует требованиям, установленным в извещении об осуществлении закупки, документации о закупке (в случае, если настоящим Федеральным законом предусмотрена документация о закупке), и который предложил по результатам проведения процедуры подачи предложений о цене контракта или о сумме цен единиц товара, работы, услуги (в случае предусмотренном частью </w:t>
      </w:r>
      <w:r>
        <w:rPr>
          <w:rStyle w:val="CharStyle14"/>
          <w:lang w:val="en-US" w:eastAsia="en-US"/>
        </w:rPr>
        <w:t xml:space="preserve">24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22 </w:t>
      </w:r>
      <w:r>
        <w:rPr>
          <w:rStyle w:val="CharStyle14"/>
        </w:rPr>
        <w:t xml:space="preserve">Закона о контрактной системе) наиболее низкую цену контракта, наименьшую сумму цен таких единиц либо в случае предусмотренном пунктом </w:t>
      </w:r>
      <w:r>
        <w:rPr>
          <w:rStyle w:val="CharStyle14"/>
          <w:lang w:val="en-US" w:eastAsia="en-US"/>
        </w:rPr>
        <w:t xml:space="preserve">9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49 </w:t>
      </w:r>
      <w:r>
        <w:rPr>
          <w:rStyle w:val="CharStyle14"/>
        </w:rPr>
        <w:t xml:space="preserve">Закона о контрактной системе,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наиболее высокий размер платы, подлежащей внесению участником закупки за заключение контракта.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Частью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49 </w:t>
      </w:r>
      <w:r>
        <w:rPr>
          <w:rStyle w:val="CharStyle14"/>
        </w:rPr>
        <w:t>Закона о контрактной системе установлено, что электронный аукцион начинается с размещения в единой информационной системе извещения об осуществлении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  <w:rPr>
          <w:sz w:val="24"/>
          <w:szCs w:val="24"/>
        </w:rPr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 том числе, следующую информацию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 xml:space="preserve">Закона о контрактной системе, указание (в случае осуществления закупки лекарственных средств) на международные непатентованные наименования </w:t>
      </w:r>
      <w:r>
        <w:rPr>
          <w:rStyle w:val="CharStyle14"/>
          <w:sz w:val="24"/>
          <w:szCs w:val="24"/>
          <w:lang w:val="en-US" w:eastAsia="en-US"/>
        </w:rPr>
        <w:t>2026-3167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4"/>
        </w:rPr>
        <w:t>лекарственных средств или при отсутствии таких наименований химические группировочные наименования.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Так, согласно Извещению, объектом закупки является Устройство усилительное электронной сирены (код ОКПД2 </w:t>
      </w:r>
      <w:r>
        <w:rPr>
          <w:rStyle w:val="CharStyle14"/>
          <w:lang w:val="en-US" w:eastAsia="en-US"/>
        </w:rPr>
        <w:t>26.30.50.114).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7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Заказчик нарушил положения №44-ФЗ по части описания объекта закупки (Статья </w:t>
      </w:r>
      <w:r>
        <w:rPr>
          <w:rStyle w:val="CharStyle14"/>
          <w:lang w:val="en-US" w:eastAsia="en-US"/>
        </w:rPr>
        <w:t xml:space="preserve">33. </w:t>
      </w:r>
      <w:r>
        <w:rPr>
          <w:rStyle w:val="CharStyle14"/>
        </w:rPr>
        <w:t>44-ФЗ): разместил описание объекта закупки с противоречивой информацией.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Закона о контрактной системе предусмотрено, что извещение об осуществлении закупки, если иное не предусмотрено настоящим Федеральным законом, должно содержать следующий электронный документ описание объекта закупки в соответствии со статьей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Согласно пункту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Согласно 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настоящей статьи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Согласно доводу Заявителя, Предоставленные адреса установки ТСО в приложении к Контракту не соответствуют адресам в приложенной проектно</w:t>
        <w:softHyphen/>
        <w:t>технической документации. И как следствие не представляется возможным корректно оценить объём монтажных материалов и кабельной продукции по каждому адресу установки ТСО.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74" w:lineRule="auto"/>
        <w:ind w:left="0" w:right="0" w:firstLine="720"/>
        <w:jc w:val="both"/>
        <w:rPr>
          <w:sz w:val="24"/>
          <w:szCs w:val="24"/>
        </w:rPr>
      </w:pPr>
      <w:r>
        <w:rPr>
          <w:rStyle w:val="CharStyle14"/>
        </w:rPr>
        <w:t xml:space="preserve">В соответствии с частью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Закона о контрактной системе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</w:t>
      </w:r>
      <w:r>
        <w:rPr>
          <w:rStyle w:val="CharStyle14"/>
          <w:sz w:val="24"/>
          <w:szCs w:val="24"/>
          <w:lang w:val="en-US" w:eastAsia="en-US"/>
        </w:rPr>
        <w:t>2026-3167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4"/>
        </w:rPr>
        <w:t>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</w:rPr>
        <w:t xml:space="preserve">Комиссией установлено, что согласно данным из ЕИС </w:t>
      </w:r>
      <w:r>
        <w:rPr>
          <w:rStyle w:val="CharStyle14"/>
          <w:lang w:val="en-US" w:eastAsia="en-US"/>
        </w:rPr>
        <w:t xml:space="preserve">04.05.2026 </w:t>
      </w:r>
      <w:r>
        <w:rPr>
          <w:rStyle w:val="CharStyle14"/>
        </w:rPr>
        <w:t>заказчиком получен запрос о даче разъяснений положений извещения об осуществлении закупки: «</w:t>
      </w:r>
      <w:r>
        <w:rPr>
          <w:rStyle w:val="CharStyle14"/>
          <w:i/>
          <w:iCs/>
        </w:rPr>
        <w:t>Уважаемый заказчик! Предоставленные адреса установки ТСО в приложении к Контракту не соответствуют адресам в приложенной проектно</w:t>
        <w:softHyphen/>
        <w:t>технической документации. И как следствие не представляется возможным корректно оценить объём монтажных материалов и кабельной продукции по каждому адресу установки ТСО. Просим внести изменения в закупочную документацию: необходимо скорректировать приложение к Контракту в соответствии с ПТД</w:t>
      </w:r>
      <w:r>
        <w:rPr>
          <w:rStyle w:val="CharStyle14"/>
        </w:rPr>
        <w:t>.».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  <w:rPr>
          <w:sz w:val="24"/>
          <w:szCs w:val="24"/>
        </w:rPr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05" w:right="542" w:bottom="483" w:left="1101" w:header="677" w:footer="55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>Согласно ответу Заказчика: «</w:t>
      </w:r>
      <w:r>
        <w:rPr>
          <w:rStyle w:val="CharStyle14"/>
          <w:i/>
          <w:iCs/>
        </w:rPr>
        <w:t xml:space="preserve">В соответствии с Постановлением Правительства РФ от </w:t>
      </w:r>
      <w:r>
        <w:rPr>
          <w:rStyle w:val="CharStyle14"/>
          <w:i/>
          <w:iCs/>
          <w:lang w:val="en-US" w:eastAsia="en-US"/>
        </w:rPr>
        <w:t xml:space="preserve">17.05.2023 N 769 </w:t>
      </w:r>
      <w:r>
        <w:rPr>
          <w:rStyle w:val="CharStyle14"/>
          <w:i/>
          <w:iCs/>
        </w:rPr>
        <w:t xml:space="preserve">«О порядке создания, реконструкции и поддержания в состоянии постоянной готовности к использованию систем оповещения населения» согласование мест размещения технических средств оповещения, в том числе оконечных средств оповещения населения осуществляется заказчиком проектно-технической документации в соответствии с законодательством Российской Федерации. В документацию, ранее выданную заказчику проектно-технической документации, допускается вносить </w:t>
      </w:r>
      <w:r>
        <w:rPr>
          <w:rStyle w:val="CharStyle14"/>
          <w:sz w:val="24"/>
          <w:szCs w:val="24"/>
          <w:lang w:val="en-US" w:eastAsia="en-US"/>
        </w:rPr>
        <w:t>2026-3167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4"/>
          <w:i/>
          <w:iCs/>
        </w:rPr>
        <w:t>обоснованные исправления, исключения или добавления данных. С целью обеспечения максимальной сохранности технических средств оповещения в процессе их эксплуатации и достижения максимального охвата населения техническими средствами оповещения принято решение об изменении мест установки технических средств оповещения, места установки оборудования согласованы с собственниками объектов. Обоснования изменений, в том числе расчетов количества и мест размещения технических средств оповещения населения, а также зон звукопокрытия оконечными средствами оповещения, вносятся в проектную документацию</w:t>
      </w:r>
      <w:r>
        <w:rPr>
          <w:rStyle w:val="CharStyle14"/>
        </w:rPr>
        <w:t>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</w:rPr>
        <w:t>Согласно письменным и устным пояснениям Заказчика МКУ «Управление по делам ГО ЧС г. Воронежа» принято решение об изменении мест установки технических средств оповещения с целью обеспечения их максимальной сохранности в процессе эксплуатации, а также достижения максимального охвата социально значимого населения (школьники, учащиеся, студенты) техническими средствами оповещения. Места установки оборудования согласованы с собственниками объектов.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  <w:color w:val="0F1115"/>
        </w:rPr>
        <w:t xml:space="preserve">Таким образом, Заказчик обосновал изменение адресов и подтвердил намерение внести соответствующие корректировки в проектную документацию. Участник закупки, получивший данное разъяснение, имел возможность использовать его для расчета своих затрат и подготовки заявки. При таких обстоятельствах, учитывая социальную значимость муниципальной системы оповещения населения и необходимость её эффективного и своевременного функционирования, Комиссия Воронежского УФАС России не усматривает в действиях Заказчика нарушения статьи </w:t>
      </w:r>
      <w:r>
        <w:rPr>
          <w:rStyle w:val="CharStyle14"/>
          <w:color w:val="0F1115"/>
          <w:lang w:val="en-US" w:eastAsia="en-US"/>
        </w:rPr>
        <w:t xml:space="preserve">33 </w:t>
      </w:r>
      <w:r>
        <w:rPr>
          <w:rStyle w:val="CharStyle14"/>
          <w:color w:val="0F1115"/>
        </w:rPr>
        <w:t>Закона о контрактной системе, влекущего неоднозначное толкование требований к поставляемому оборудованию или ограничение конкуренции.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7" w:val="left"/>
        </w:tabs>
        <w:bidi w:val="0"/>
        <w:spacing w:before="0" w:after="0"/>
        <w:ind w:left="0" w:right="0" w:firstLine="740"/>
        <w:jc w:val="both"/>
      </w:pPr>
      <w:r>
        <w:rPr>
          <w:rStyle w:val="CharStyle14"/>
        </w:rPr>
        <w:t xml:space="preserve">В составе закупочной документации размещена проектная документация, не соответствующая требованиям постановления Правительства РФ от </w:t>
      </w:r>
      <w:r>
        <w:rPr>
          <w:rStyle w:val="CharStyle14"/>
          <w:lang w:val="en-US" w:eastAsia="en-US"/>
        </w:rPr>
        <w:t xml:space="preserve">17 </w:t>
      </w:r>
      <w:r>
        <w:rPr>
          <w:rStyle w:val="CharStyle14"/>
        </w:rPr>
        <w:t xml:space="preserve">мая </w:t>
      </w:r>
      <w:r>
        <w:rPr>
          <w:rStyle w:val="CharStyle14"/>
          <w:lang w:val="en-US" w:eastAsia="en-US"/>
        </w:rPr>
        <w:t xml:space="preserve">2023 </w:t>
      </w:r>
      <w:r>
        <w:rPr>
          <w:rStyle w:val="CharStyle14"/>
        </w:rPr>
        <w:t xml:space="preserve">г. </w:t>
      </w:r>
      <w:r>
        <w:rPr>
          <w:rStyle w:val="CharStyle14"/>
          <w:lang w:val="en-US" w:eastAsia="en-US"/>
        </w:rPr>
        <w:t xml:space="preserve">№ 769 </w:t>
      </w:r>
      <w:r>
        <w:rPr>
          <w:rStyle w:val="CharStyle14"/>
        </w:rPr>
        <w:t>«О порядке создания, реконструкции и поддержания в состоянии постоянной готовности к использованию систем оповещения населения».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 соответствии с абзацем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7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12.02.1998 № 28- </w:t>
      </w:r>
      <w:r>
        <w:rPr>
          <w:rStyle w:val="CharStyle14"/>
        </w:rPr>
        <w:t>ФЗ «О гражданской обороне» федеральные органы исполнительной власти в пределах своих полномочий принимают нормативные акты в области гражданской обороны, доводят их требования до сведения организаций, находящихся в их ведении, и контролируют их выполнение.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60"/>
        <w:jc w:val="both"/>
      </w:pPr>
      <w:r>
        <w:rPr>
          <w:rStyle w:val="CharStyle14"/>
        </w:rPr>
        <w:t xml:space="preserve">Таким образом, в силу названной нормы контроль за выполнением требований Постановление Правительства РФ от </w:t>
      </w:r>
      <w:r>
        <w:rPr>
          <w:rStyle w:val="CharStyle14"/>
          <w:lang w:val="en-US" w:eastAsia="en-US"/>
        </w:rPr>
        <w:t xml:space="preserve">17.05.2023 N 769 </w:t>
      </w:r>
      <w:r>
        <w:rPr>
          <w:rStyle w:val="CharStyle14"/>
        </w:rPr>
        <w:t>"О порядке создания, реконструкции и поддержания в состоянии постоянной готовности к использованию систем оповещения населения" возложен на федеральные органы исполнительной власти, уполномоченные в области гражданской обороны, а не на антимонопольный орган. Комиссия Воронежского УФАС России не наделена полномочиями по оценке соответствия проектной документации требованиям указанного нормативного правового акта, в связи с чем жалоба в данной части подлежит направлению по компетенции в Главное управление МЧС России по Воронежской области.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На основании изложенного, Комиссия Воронежского УФАС России признает данный довод жалобы необоснованным и не подлежащим рассмотрению в рамках полномочий, предоставленных Законом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720"/>
        <w:jc w:val="both"/>
      </w:pPr>
      <w:r>
        <w:rPr>
          <w:rStyle w:val="CharStyle14"/>
        </w:rPr>
        <w:t xml:space="preserve">Комиссия Воронежского УФАС России, руководствуясь статьями </w:t>
      </w:r>
      <w:r>
        <w:rPr>
          <w:rStyle w:val="CharStyle14"/>
          <w:lang w:val="en-US" w:eastAsia="en-US"/>
        </w:rPr>
        <w:t xml:space="preserve">99, 106 </w:t>
      </w:r>
      <w:r>
        <w:rPr>
          <w:rStyle w:val="CharStyle14"/>
        </w:rPr>
        <w:t>Закона о контрактной системе,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720"/>
        <w:jc w:val="both"/>
      </w:pPr>
      <w:r>
        <w:rPr>
          <w:rStyle w:val="CharStyle14"/>
          <w:b/>
          <w:bCs/>
        </w:rPr>
        <w:t>РЕШИЛА: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57" w:val="left"/>
        </w:tabs>
        <w:bidi w:val="0"/>
        <w:spacing w:before="0" w:after="440"/>
        <w:ind w:left="0" w:right="0" w:firstLine="720"/>
        <w:jc w:val="both"/>
      </w:pPr>
      <w:r>
        <w:rPr>
          <w:rStyle w:val="CharStyle14"/>
        </w:rPr>
        <w:t xml:space="preserve">Признать жалобу ООО «МЕГАЛАЙН» на действия МКУ «Управление по делам гражданской обороны и чрезвычайным ситуациям администрации городского округа город Воронеж» при проведении электронного аукциона на поставку оборудования для развития и поддержания в технически исправном состоянии Муниципальной системы оповещения городского округа город Воронеж (номер извещения </w:t>
      </w:r>
      <w:r>
        <w:rPr>
          <w:rStyle w:val="CharStyle14"/>
          <w:lang w:val="en-US" w:eastAsia="en-US"/>
        </w:rPr>
        <w:t xml:space="preserve">0131300000626000555) </w:t>
      </w:r>
      <w:r>
        <w:rPr>
          <w:rStyle w:val="CharStyle14"/>
        </w:rPr>
        <w:t>необоснованной.</w:t>
      </w:r>
      <w:r>
        <w:br w:type="page"/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8" w:val="left"/>
        </w:tabs>
        <w:bidi w:val="0"/>
        <w:spacing w:before="0" w:after="440"/>
        <w:ind w:left="0" w:right="0" w:firstLine="720"/>
        <w:jc w:val="both"/>
      </w:pPr>
      <w:r>
        <w:rPr>
          <w:rStyle w:val="CharStyle14"/>
          <w:color w:val="0F1115"/>
        </w:rPr>
        <w:t xml:space="preserve">Направить настоящую жалобу в части довода о нарушении требований Постановления Правительства РФ от </w:t>
      </w:r>
      <w:r>
        <w:rPr>
          <w:rStyle w:val="CharStyle14"/>
          <w:color w:val="0F1115"/>
          <w:lang w:val="en-US" w:eastAsia="en-US"/>
        </w:rPr>
        <w:t xml:space="preserve">17.05.2023 № 769 </w:t>
      </w:r>
      <w:r>
        <w:rPr>
          <w:rStyle w:val="CharStyle14"/>
          <w:color w:val="0F1115"/>
        </w:rPr>
        <w:t>«О порядке создания реконструкции и поддержания в состоянии постоянной готовности к использованию систем оповещения населения» в Главное управление МЧС России по Воронежской области.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584200" distB="207010" distL="0" distR="0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584200</wp:posOffset>
                </wp:positionV>
                <wp:extent cx="1822450" cy="2501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200000000000003pt;margin-top:46.pt;width:143.5pt;height:19.699999999999999pt;z-index:-125829373;mso-wrap-distance-left:0;mso-wrap-distance-top:46.pt;mso-wrap-distance-right:0;mso-wrap-distance-bottom:16.3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75640" distB="0" distL="0" distR="1804670" simplePos="0" relativeHeight="125829382" behindDoc="0" locked="0" layoutInCell="1" allowOverlap="1">
            <wp:simplePos x="0" y="0"/>
            <wp:positionH relativeFrom="page">
              <wp:posOffset>2680970</wp:posOffset>
            </wp:positionH>
            <wp:positionV relativeFrom="paragraph">
              <wp:posOffset>675640</wp:posOffset>
            </wp:positionV>
            <wp:extent cx="316865" cy="36576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745490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30000000000001pt;margin-top:58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84200" distB="207010" distL="0" distR="0" simplePos="0" relativeHeight="125829383" behindDoc="0" locked="0" layoutInCell="1" allowOverlap="1">
                <wp:simplePos x="0" y="0"/>
                <wp:positionH relativeFrom="page">
                  <wp:posOffset>6103620</wp:posOffset>
                </wp:positionH>
                <wp:positionV relativeFrom="paragraph">
                  <wp:posOffset>584200</wp:posOffset>
                </wp:positionV>
                <wp:extent cx="108204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2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4"/>
                              </w:rPr>
                              <w:t>Р.В. Колмаков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0.60000000000002pt;margin-top:46.pt;width:85.200000000000003pt;height:19.699999999999999pt;z-index:-125829370;mso-wrap-distance-left:0;mso-wrap-distance-top:46.pt;mso-wrap-distance-right:0;mso-wrap-distance-bottom:16.3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4"/>
                        </w:rPr>
                        <w:t>Р.В. Колмаков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2700" distB="1447800" distL="0" distR="0" simplePos="0" relativeHeight="125829385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12700</wp:posOffset>
                </wp:positionV>
                <wp:extent cx="1283335" cy="977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23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5.40000000000001pt;margin-top:1.pt;width:101.05pt;height:7.7000000000000002pt;z-index:-125829368;mso-wrap-distance-left:0;mso-wrap-distance-top:1.pt;mso-wrap-distance-right:0;mso-wrap-distance-bottom:114.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23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8275" distB="1091565" distL="0" distR="0" simplePos="0" relativeHeight="125829387" behindDoc="0" locked="0" layoutInCell="1" allowOverlap="1">
                <wp:simplePos x="0" y="0"/>
                <wp:positionH relativeFrom="page">
                  <wp:posOffset>2668270</wp:posOffset>
                </wp:positionH>
                <wp:positionV relativeFrom="paragraph">
                  <wp:posOffset>168275</wp:posOffset>
                </wp:positionV>
                <wp:extent cx="2038985" cy="2984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3898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25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25"/>
                                <w:color w:val="000000"/>
                                <w:sz w:val="11"/>
                                <w:szCs w:val="11"/>
                              </w:rPr>
                              <w:t>Колмаков Руслан Владимирович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25"/>
                                <w:color w:val="292929"/>
                              </w:rPr>
                              <w:t xml:space="preserve">№ </w:t>
                            </w:r>
                            <w:r>
                              <w:rPr>
                                <w:rStyle w:val="CharStyle25"/>
                                <w:lang w:val="en-US" w:eastAsia="en-US"/>
                              </w:rPr>
                              <w:t>2209521453E31D521862191D98157328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 xml:space="preserve">Действителен с 11.04.2025 </w:t>
                            </w:r>
                            <w:r>
                              <w:rPr>
                                <w:rStyle w:val="CharStyle25"/>
                                <w:color w:val="5D5D5D"/>
                              </w:rPr>
                              <w:t xml:space="preserve">по </w:t>
                            </w:r>
                            <w:r>
                              <w:rPr>
                                <w:rStyle w:val="CharStyle25"/>
                              </w:rPr>
                              <w:t>05.07.2026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10.09999999999999pt;margin-top:13.25pt;width:160.55000000000001pt;height:23.5pt;z-index:-125829366;mso-wrap-distance-left:0;mso-wrap-distance-top:13.25pt;mso-wrap-distance-right:0;mso-wrap-distance-bottom:85.950000000000003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25"/>
                        </w:rPr>
                        <w:t xml:space="preserve">Кому выдан: </w:t>
                      </w:r>
                      <w:r>
                        <w:rPr>
                          <w:rStyle w:val="CharStyle25"/>
                          <w:color w:val="000000"/>
                          <w:sz w:val="11"/>
                          <w:szCs w:val="11"/>
                        </w:rPr>
                        <w:t>Колмаков Руслан Владимирович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 xml:space="preserve">Сертификат </w:t>
                      </w:r>
                      <w:r>
                        <w:rPr>
                          <w:rStyle w:val="CharStyle25"/>
                          <w:color w:val="292929"/>
                        </w:rPr>
                        <w:t xml:space="preserve">№ </w:t>
                      </w:r>
                      <w:r>
                        <w:rPr>
                          <w:rStyle w:val="CharStyle25"/>
                          <w:lang w:val="en-US" w:eastAsia="en-US"/>
                        </w:rPr>
                        <w:t>2209521453E31D521862191D98157328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 xml:space="preserve">Действителен с 11.04.2025 </w:t>
                      </w:r>
                      <w:r>
                        <w:rPr>
                          <w:rStyle w:val="CharStyle25"/>
                          <w:color w:val="5D5D5D"/>
                        </w:rPr>
                        <w:t xml:space="preserve">по </w:t>
                      </w:r>
                      <w:r>
                        <w:rPr>
                          <w:rStyle w:val="CharStyle25"/>
                        </w:rPr>
                        <w:t>05.07.2026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5475" distB="475615" distL="0" distR="0" simplePos="0" relativeHeight="12582938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625475</wp:posOffset>
                </wp:positionV>
                <wp:extent cx="1791970" cy="45720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1970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Заместитель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председателя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8.200000000000003pt;margin-top:49.25pt;width:141.09999999999999pt;height:36.pt;z-index:-125829364;mso-wrap-distance-left:0;mso-wrap-distance-top:49.25pt;mso-wrap-distance-right:0;mso-wrap-distance-bottom:37.4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Заместитель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председателя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98500" distB="338455" distL="0" distR="1786255" simplePos="0" relativeHeight="125829391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698500</wp:posOffset>
            </wp:positionV>
            <wp:extent cx="359410" cy="52451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1103630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1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5.40000000000001pt;margin-top:86.900000000000006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1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786765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25pt;margin-top:61.950000000000003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59205" distB="635" distL="0" distR="0" simplePos="0" relativeHeight="125829392" behindDoc="0" locked="0" layoutInCell="1" allowOverlap="1">
                <wp:simplePos x="0" y="0"/>
                <wp:positionH relativeFrom="page">
                  <wp:posOffset>2668270</wp:posOffset>
                </wp:positionH>
                <wp:positionV relativeFrom="paragraph">
                  <wp:posOffset>1259205</wp:posOffset>
                </wp:positionV>
                <wp:extent cx="2130425" cy="29845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042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25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25"/>
                                <w:color w:val="000000"/>
                                <w:sz w:val="11"/>
                                <w:szCs w:val="11"/>
                              </w:rPr>
                              <w:t>Тельпов Иван Алексеевич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25"/>
                                <w:color w:val="292929"/>
                              </w:rPr>
                              <w:t xml:space="preserve">№ </w:t>
                            </w:r>
                            <w:r>
                              <w:rPr>
                                <w:rStyle w:val="CharStyle25"/>
                                <w:lang w:val="en-US" w:eastAsia="en-US"/>
                              </w:rPr>
                              <w:t>6CEC332F1</w:t>
                            </w:r>
                            <w:r>
                              <w:rPr>
                                <w:rStyle w:val="CharStyle25"/>
                              </w:rPr>
                              <w:t>31</w:t>
                            </w:r>
                            <w:r>
                              <w:rPr>
                                <w:rStyle w:val="CharStyle25"/>
                                <w:lang w:val="en-US" w:eastAsia="en-US"/>
                              </w:rPr>
                              <w:t>46B508CCFEAD9FB3F1</w:t>
                            </w:r>
                            <w:r>
                              <w:rPr>
                                <w:rStyle w:val="CharStyle25"/>
                              </w:rPr>
                              <w:t>900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 xml:space="preserve">Действителен с 18.06.2025 </w:t>
                            </w:r>
                            <w:r>
                              <w:rPr>
                                <w:rStyle w:val="CharStyle25"/>
                                <w:color w:val="5D5D5D"/>
                              </w:rPr>
                              <w:t>по 1</w:t>
                            </w:r>
                            <w:r>
                              <w:rPr>
                                <w:rStyle w:val="CharStyle25"/>
                              </w:rPr>
                              <w:t>1.09.2026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10.09999999999999pt;margin-top:99.150000000000006pt;width:167.75pt;height:23.5pt;z-index:-125829361;mso-wrap-distance-left:0;mso-wrap-distance-top:99.150000000000006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25"/>
                        </w:rPr>
                        <w:t xml:space="preserve">Кому выдан: </w:t>
                      </w:r>
                      <w:r>
                        <w:rPr>
                          <w:rStyle w:val="CharStyle25"/>
                          <w:color w:val="000000"/>
                          <w:sz w:val="11"/>
                          <w:szCs w:val="11"/>
                        </w:rPr>
                        <w:t>Тельпов Иван Алексеевич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 xml:space="preserve">Сертификат </w:t>
                      </w:r>
                      <w:r>
                        <w:rPr>
                          <w:rStyle w:val="CharStyle25"/>
                          <w:color w:val="292929"/>
                        </w:rPr>
                        <w:t xml:space="preserve">№ </w:t>
                      </w:r>
                      <w:r>
                        <w:rPr>
                          <w:rStyle w:val="CharStyle25"/>
                          <w:lang w:val="en-US" w:eastAsia="en-US"/>
                        </w:rPr>
                        <w:t>6CEC332F1</w:t>
                      </w:r>
                      <w:r>
                        <w:rPr>
                          <w:rStyle w:val="CharStyle25"/>
                        </w:rPr>
                        <w:t>31</w:t>
                      </w:r>
                      <w:r>
                        <w:rPr>
                          <w:rStyle w:val="CharStyle25"/>
                          <w:lang w:val="en-US" w:eastAsia="en-US"/>
                        </w:rPr>
                        <w:t>46B508CCFEAD9FB3F1</w:t>
                      </w:r>
                      <w:r>
                        <w:rPr>
                          <w:rStyle w:val="CharStyle25"/>
                        </w:rPr>
                        <w:t>900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 xml:space="preserve">Действителен с 18.06.2025 </w:t>
                      </w:r>
                      <w:r>
                        <w:rPr>
                          <w:rStyle w:val="CharStyle25"/>
                          <w:color w:val="5D5D5D"/>
                        </w:rPr>
                        <w:t>по 1</w:t>
                      </w:r>
                      <w:r>
                        <w:rPr>
                          <w:rStyle w:val="CharStyle25"/>
                        </w:rPr>
                        <w:t>1.09.2026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5475" distB="680085" distL="0" distR="0" simplePos="0" relativeHeight="125829394" behindDoc="0" locked="0" layoutInCell="1" allowOverlap="1">
                <wp:simplePos x="0" y="0"/>
                <wp:positionH relativeFrom="page">
                  <wp:posOffset>6149340</wp:posOffset>
                </wp:positionH>
                <wp:positionV relativeFrom="paragraph">
                  <wp:posOffset>625475</wp:posOffset>
                </wp:positionV>
                <wp:extent cx="1036320" cy="25273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63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4"/>
                              </w:rPr>
                              <w:t>И.А. Тельпов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84.19999999999999pt;margin-top:49.25pt;width:81.600000000000009pt;height:19.900000000000002pt;z-index:-125829359;mso-wrap-distance-left:0;mso-wrap-distance-top:49.25pt;mso-wrap-distance-right:0;mso-wrap-distance-bottom:53.55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4"/>
                        </w:rPr>
                        <w:t>И.А. Тельпов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52400" distB="191770" distL="0" distR="0" simplePos="0" relativeHeight="125829396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152400</wp:posOffset>
                </wp:positionV>
                <wp:extent cx="1173480" cy="2501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34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Член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58.pt;margin-top:12.pt;width:92.400000000000006pt;height:19.699999999999999pt;z-index:-125829357;mso-wrap-distance-left:0;mso-wrap-distance-top:12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Член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50190" distB="0" distL="0" distR="1816735" simplePos="0" relativeHeight="125829398" behindDoc="0" locked="0" layoutInCell="1" allowOverlap="1">
            <wp:simplePos x="0" y="0"/>
            <wp:positionH relativeFrom="page">
              <wp:posOffset>2687320</wp:posOffset>
            </wp:positionH>
            <wp:positionV relativeFrom="paragraph">
              <wp:posOffset>250190</wp:posOffset>
            </wp:positionV>
            <wp:extent cx="298450" cy="347345"/>
            <wp:wrapTopAndBottom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311150</wp:posOffset>
                </wp:positionV>
                <wp:extent cx="1722120" cy="25908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42.30000000000001pt;margin-top:24.5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191770" distL="0" distR="0" simplePos="0" relativeHeight="125829399" behindDoc="0" locked="0" layoutInCell="1" allowOverlap="1">
                <wp:simplePos x="0" y="0"/>
                <wp:positionH relativeFrom="page">
                  <wp:posOffset>6128385</wp:posOffset>
                </wp:positionH>
                <wp:positionV relativeFrom="paragraph">
                  <wp:posOffset>152400</wp:posOffset>
                </wp:positionV>
                <wp:extent cx="1060450" cy="25019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У.А. Гуськова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482.55000000000001pt;margin-top:12.pt;width:83.5pt;height:19.699999999999999pt;z-index:-125829354;mso-wrap-distance-left:0;mso-wrap-distance-top:12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У.А. Гуськова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  <w:sz w:val="11"/>
          <w:szCs w:val="11"/>
        </w:rPr>
        <w:t>Гуськова Ульяна Алексеевна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00C838BAE35A8F17E3C8A51AE0E53CC0C</w:t>
      </w:r>
      <w:r>
        <w:rPr>
          <w:rStyle w:val="CharStyle25"/>
          <w:lang w:val="en-US" w:eastAsia="en-US"/>
        </w:rPr>
        <w:t>: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3100" w:right="0" w:firstLine="0"/>
        <w:jc w:val="left"/>
      </w:pPr>
      <w:r>
        <w:rPr>
          <w:rStyle w:val="CharStyle25"/>
        </w:rPr>
        <w:t xml:space="preserve">Действителен с 13.10.2025 </w:t>
      </w:r>
      <w:r>
        <w:rPr>
          <w:rStyle w:val="CharStyle25"/>
          <w:color w:val="5D5D5D"/>
        </w:rPr>
        <w:t xml:space="preserve">по </w:t>
      </w:r>
      <w:r>
        <w:rPr>
          <w:rStyle w:val="CharStyle25"/>
        </w:rPr>
        <w:t>06.01.2027</w:t>
      </w:r>
    </w:p>
    <w:sectPr>
      <w:footerReference w:type="default" r:id="rId16"/>
      <w:footnotePr>
        <w:pos w:val="pageBottom"/>
        <w:numFmt w:val="decimal"/>
        <w:numRestart w:val="continuous"/>
      </w:footnotePr>
      <w:pgSz w:w="11900" w:h="16840"/>
      <w:pgMar w:top="975" w:right="540" w:bottom="1131" w:left="1092" w:header="547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10038715</wp:posOffset>
              </wp:positionV>
              <wp:extent cx="62484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484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2026-3167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850000000000001pt;margin-top:790.45000000000005pt;width:49.200000000000003pt;height:10.1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2026-3167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24840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484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2026-3167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5.70000000000005pt;width:49.200000000000003pt;height:10.1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2026-3167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10038715</wp:posOffset>
              </wp:positionV>
              <wp:extent cx="624840" cy="128270"/>
              <wp:wrapNone/>
              <wp:docPr id="41" name="Shape 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484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2026-3167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7" type="#_x0000_t202" style="position:absolute;margin-left:56.850000000000001pt;margin-top:790.45000000000005pt;width:49.200000000000003pt;height:10.1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2026-3167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28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9D"/>
      <w:sz w:val="19"/>
      <w:szCs w:val="19"/>
      <w:u w:val="none"/>
    </w:rPr>
  </w:style>
  <w:style w:type="character" w:customStyle="1" w:styleId="CharStyle10">
    <w:name w:val="Heading #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 (5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Heading #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1">
    <w:name w:val="Picture caption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Body text (4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3F3F3F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8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9D"/>
      <w:sz w:val="19"/>
      <w:szCs w:val="19"/>
      <w:u w:val="none"/>
    </w:rPr>
  </w:style>
  <w:style w:type="paragraph" w:customStyle="1" w:styleId="Style9">
    <w:name w:val="Heading #2"/>
    <w:basedOn w:val="Normal"/>
    <w:link w:val="CharStyle10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1">
    <w:name w:val="Body text (5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spacing w:line="360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Heading #1"/>
    <w:basedOn w:val="Normal"/>
    <w:link w:val="CharStyle17"/>
    <w:pPr>
      <w:widowControl w:val="0"/>
      <w:shd w:val="clear" w:color="auto" w:fill="auto"/>
      <w:spacing w:after="6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0">
    <w:name w:val="Picture caption"/>
    <w:basedOn w:val="Normal"/>
    <w:link w:val="CharStyle2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Body text (4)"/>
    <w:basedOn w:val="Normal"/>
    <w:link w:val="CharStyle23"/>
    <w:pPr>
      <w:widowControl w:val="0"/>
      <w:shd w:val="clear" w:color="auto" w:fill="auto"/>
      <w:spacing w:after="5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F3F3F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Relationship Id="rId16" Type="http://schemas.openxmlformats.org/officeDocument/2006/relationships/footer" Target="footer4.xml"/></Relationships>
</file>

<file path=docProps/core.xml><?xml version="1.0" encoding="utf-8"?>
<cp:coreProperties xmlns:cp="http://schemas.openxmlformats.org/package/2006/metadata/core-properties" xmlns:dc="http://purl.org/dc/elements/1.1/">
  <dc:title>Федеральный закон от 12.02.1998 N 28-ФЗ(ред. от 23.07.2025)"О гражданской обороне"</dc:title>
  <dc:subject/>
  <dc:creator/>
  <cp:keywords/>
</cp:coreProperties>
</file>