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12700</wp:posOffset>
                </wp:positionV>
                <wp:extent cx="2648585" cy="323723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3237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color w:val="6B80B0"/>
                              </w:rPr>
                              <w:t>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Воронежской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пр-кт Революции, 21, г. Воронеж, 394036</w:t>
                              <w:br/>
                              <w:t>тел./факс+7 (473) 255-92-44</w:t>
                              <w:br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to36@fas.gov.ru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9.05.2026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№ РК/2773/26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решение № 036/06/105-520/2026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050000000000004pt;margin-top:1.pt;width:208.55000000000001pt;height:254.9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color w:val="6B80B0"/>
                        </w:rPr>
                        <w:t>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Воронежской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пр-кт Революции, 21, г. Воронеж, 394036</w:t>
                        <w:br/>
                        <w:t>тел./факс+7 (473) 255-92-44</w:t>
                        <w:br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to36@fas.gov.ru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9.05.2026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№ РК/2773/26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решение № 036/06/105-520/2026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40"/>
        <w:jc w:val="left"/>
      </w:pPr>
      <w:r>
        <w:rPr>
          <w:rStyle w:val="CharStyle10"/>
        </w:rPr>
        <w:t>Управление муниципальных закупок администрации городского округа город Воронеж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840" w:right="0" w:firstLine="40"/>
        <w:jc w:val="left"/>
      </w:pPr>
      <w:r>
        <w:rPr>
          <w:rStyle w:val="CharStyle10"/>
        </w:rPr>
        <w:t>394051, Воронежская обл., г. Воронеж, ул. Домостроителей, 30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40"/>
        <w:jc w:val="left"/>
      </w:pPr>
      <w:r>
        <w:fldChar w:fldCharType="begin"/>
      </w:r>
      <w:r>
        <w:rPr/>
        <w:instrText> HYPERLINK "mailto:munzak@cityhall.voronezh-city.ru" </w:instrText>
      </w:r>
      <w:r>
        <w:fldChar w:fldCharType="separate"/>
      </w:r>
      <w:r>
        <w:rPr>
          <w:rStyle w:val="CharStyle10"/>
          <w:lang w:val="en-US" w:eastAsia="en-US"/>
        </w:rPr>
        <w:t>munzak@cityhall.voronezh-city.ru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40"/>
        <w:jc w:val="left"/>
      </w:pPr>
      <w:r>
        <w:rPr>
          <w:rStyle w:val="CharStyle10"/>
        </w:rPr>
        <w:t>АКЦИОНЕРНОЕ ОБЩЕСТВО НАУЧНО-ПРОИЗВОДСТВЕННОЕ ОБЪЕДИНЕНИЕ "СЕНСОР"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40"/>
        <w:jc w:val="left"/>
      </w:pPr>
      <w:r>
        <w:rPr>
          <w:rStyle w:val="CharStyle10"/>
        </w:rPr>
        <w:t>150031, ЯРОСЛАВСКАЯ ОБЛАСТЬ, г.о. ГОРОД ЯРОСЛАВЛЬ, Г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ЯРОСЛАВЛЬ, УЛ ЧКАЛОВА, Д. 39А, ОФИС 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fldChar w:fldCharType="begin"/>
      </w:r>
      <w:r>
        <w:rPr/>
        <w:instrText> HYPERLINK "mailto:info@sensor-m.ru" </w:instrText>
      </w:r>
      <w:r>
        <w:fldChar w:fldCharType="separate"/>
      </w:r>
      <w:r>
        <w:rPr>
          <w:rStyle w:val="CharStyle10"/>
          <w:lang w:val="en-US" w:eastAsia="en-US"/>
        </w:rPr>
        <w:t>info@sensor-m.ru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МКУ «Управление по делам гражданской обороны и чрезвычайным ситуациям администрации городского округа город Воронеж»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394018, Воронежская обл., г. Воронеж, ул. Платонова, 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rStyle w:val="CharStyle10"/>
          <w:lang w:val="en-US" w:eastAsia="en-US"/>
        </w:rPr>
        <w:t>zacupki@emercom.vrn.ru,</w:t>
      </w:r>
      <w:r>
        <w:fldChar w:fldCharType="begin"/>
      </w:r>
      <w:r>
        <w:rPr/>
        <w:instrText> HYPERLINK "mailto:go@cityhall.vor" </w:instrText>
      </w:r>
      <w:r>
        <w:fldChar w:fldCharType="separate"/>
      </w:r>
      <w:r>
        <w:rPr>
          <w:rStyle w:val="CharStyle10"/>
          <w:lang w:val="en-US" w:eastAsia="en-US"/>
        </w:rPr>
        <w:t>go@cityhall.vor</w:t>
      </w:r>
      <w:r>
        <w:fldChar w:fldCharType="end"/>
      </w:r>
      <w:r>
        <w:rPr>
          <w:rStyle w:val="CharStyle10"/>
          <w:lang w:val="en-US" w:eastAsia="en-US"/>
        </w:rPr>
        <w:t xml:space="preserve"> onezh-</w:t>
      </w:r>
      <w:r>
        <w:rPr>
          <w:rStyle w:val="CharStyle10"/>
          <w:lang w:val="en-US" w:eastAsia="en-US"/>
        </w:rPr>
        <w:t>city.ru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  <w:b/>
          <w:bCs/>
        </w:rPr>
        <w:t>Р Е Ш Е Н И 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rStyle w:val="CharStyle10"/>
        </w:rPr>
        <w:t>по результатам рассмотрения жалобы АО НПО «СЕНСОР» на действия МКУ «Управление по делам гражданской обороны и чрезвычайным ситуациям администрации городского округа город Воронеж»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</w:rPr>
        <w:t>Воронеж (номер извещения 0131300000626000555)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3680" w:right="0" w:firstLine="0"/>
        <w:jc w:val="left"/>
      </w:pPr>
      <w:r>
        <w:rPr>
          <w:rStyle w:val="CharStyle10"/>
        </w:rPr>
        <w:t>(Дело № 036/06/105-520/2026)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42" w:val="left"/>
        </w:tabs>
        <w:bidi w:val="0"/>
        <w:spacing w:before="0" w:after="400"/>
        <w:ind w:left="0" w:right="0" w:firstLine="0"/>
        <w:jc w:val="left"/>
      </w:pPr>
      <w:r>
        <w:rPr>
          <w:rStyle w:val="CharStyle10"/>
        </w:rPr>
        <w:t>14.05.2026 г.</w:t>
        <w:tab/>
        <w:t>г. Воронеж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7"/>
        </w:rPr>
        <w:t>1IIIIIIIIIIIIIIIIIIIIII1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10"/>
        </w:rPr>
        <w:t xml:space="preserve">Резолютивная часть настоящего решения объявлена </w:t>
      </w:r>
      <w:r>
        <w:rPr>
          <w:rStyle w:val="CharStyle10"/>
          <w:lang w:val="en-US" w:eastAsia="en-US"/>
        </w:rPr>
        <w:t xml:space="preserve">14.05.2026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rStyle w:val="CharStyle10"/>
        </w:rPr>
        <w:t xml:space="preserve">В полном объеме решение изготовлено </w:t>
      </w:r>
      <w:r>
        <w:rPr>
          <w:rStyle w:val="CharStyle10"/>
          <w:lang w:val="en-US" w:eastAsia="en-US"/>
        </w:rPr>
        <w:t xml:space="preserve">18.05.2026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Комиссия) в составе: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Колмаков Р.В.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председатель Комиссии, заместитель руководителя управления,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Тельпов И.А.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заместитель председателя Комиссии, заместитель начальника отдела контроля закупок,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Гуськова У.А.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член Комиссии, государственный инспектор отдела контроля закупок;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при участии представителя АО НПО «СЕНСОР»: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Ширшова С.В. (доверенность б/н от </w:t>
      </w:r>
      <w:r>
        <w:rPr>
          <w:rStyle w:val="CharStyle10"/>
          <w:lang w:val="en-US" w:eastAsia="en-US"/>
        </w:rPr>
        <w:t xml:space="preserve">12.05.2026 </w:t>
      </w:r>
      <w:r>
        <w:rPr>
          <w:rStyle w:val="CharStyle10"/>
        </w:rPr>
        <w:t>г.);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при участии представителей МКУ «Управление по делам гражданской обороны и чрезвычайным ситуациям администрации городского округа город Воронеж»: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Соколова С.А. (доверенность </w:t>
      </w:r>
      <w:r>
        <w:rPr>
          <w:rStyle w:val="CharStyle10"/>
          <w:lang w:val="en-US" w:eastAsia="en-US"/>
        </w:rPr>
        <w:t xml:space="preserve">№ 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07.05.2026 </w:t>
      </w:r>
      <w:r>
        <w:rPr>
          <w:rStyle w:val="CharStyle10"/>
        </w:rPr>
        <w:t>г.);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при участии представителя Управления муниципальных закупок администрации городского округа город Воронеж: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Меркуловой Е.М. (доверенность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б/н от </w:t>
      </w:r>
      <w:r>
        <w:rPr>
          <w:rStyle w:val="CharStyle10"/>
          <w:lang w:val="en-US" w:eastAsia="en-US"/>
        </w:rPr>
        <w:t xml:space="preserve">12.02.2026 </w:t>
      </w:r>
      <w:r>
        <w:rPr>
          <w:rStyle w:val="CharStyle10"/>
        </w:rPr>
        <w:t>г.);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0"/>
        </w:rPr>
        <w:t xml:space="preserve">рассмотрев жалобу АО НПО «СЕНСОР» на действия МКУ «Управление по делам гражданской обороны и чрезвычайным ситуациям администрации городского округа город Воронеж»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0"/>
          <w:lang w:val="en-US" w:eastAsia="en-US"/>
        </w:rPr>
        <w:t>0131300000626000555),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Воронежское УФАС России) поступила жалоба АО НПО «СЕНСОР»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Заявитель) на действия МКУ «Управление по делам гражданской обороны и чрезвычайным ситуациям администрации городского округа город Воронеж»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Заказчик)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0"/>
          <w:lang w:val="en-US" w:eastAsia="en-US"/>
        </w:rPr>
        <w:t>0131300000626000555).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По мнению Заявителя, действия Заказчика нарушают положения Федерального закона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 что выразилось в следующем: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Заказчик нарушил требования 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в части описания объекта закупки (ст. </w:t>
      </w:r>
      <w:r>
        <w:rPr>
          <w:rStyle w:val="CharStyle10"/>
          <w:lang w:val="en-US" w:eastAsia="en-US"/>
        </w:rPr>
        <w:t xml:space="preserve">33), </w:t>
      </w:r>
      <w:r>
        <w:rPr>
          <w:rStyle w:val="CharStyle10"/>
        </w:rPr>
        <w:t>разместив противоречивую информацию;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В составе закупочной документации размещена проектная документация, не соответствующая требованиям постановления Правительства РФ от </w:t>
      </w:r>
      <w:r>
        <w:rPr>
          <w:rStyle w:val="CharStyle10"/>
          <w:lang w:val="en-US" w:eastAsia="en-US"/>
        </w:rPr>
        <w:t xml:space="preserve">17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2023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769 </w:t>
      </w:r>
      <w:r>
        <w:rPr>
          <w:rStyle w:val="CharStyle10"/>
        </w:rPr>
        <w:t>«О порядке создания, реконструкции и поддержания в состоянии постоянной готовности к использованию систем оповещения населения».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Заказчиком и Уполномоченным органом представлены возражения на жалобу Заявителя. Из указанных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Изучив материалы дела, предоставленные доказательства, а также осуществив внеплановую проверку настоящей закупки, Комиссия Воронежского УФАС России установила следующее.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04.2026 </w:t>
      </w:r>
      <w:r>
        <w:rPr>
          <w:rStyle w:val="CharStyle10"/>
        </w:rPr>
        <w:t xml:space="preserve">года в Единой информационной системе размещено Извещение </w:t>
      </w:r>
      <w:r>
        <w:rPr>
          <w:rStyle w:val="CharStyle10"/>
          <w:lang w:val="en-US" w:eastAsia="en-US"/>
        </w:rPr>
        <w:t xml:space="preserve">№ 0131300000626000555 </w:t>
      </w:r>
      <w:r>
        <w:rPr>
          <w:rStyle w:val="CharStyle10"/>
        </w:rPr>
        <w:t xml:space="preserve">о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Извещение).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Начальная (максимальная) цена контракта составляет </w:t>
      </w:r>
      <w:r>
        <w:rPr>
          <w:rStyle w:val="CharStyle10"/>
          <w:lang w:val="en-US" w:eastAsia="en-US"/>
        </w:rPr>
        <w:t xml:space="preserve">– 40 150 198,08 </w:t>
      </w:r>
      <w:r>
        <w:rPr>
          <w:rStyle w:val="CharStyle10"/>
        </w:rPr>
        <w:t>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Закупка вне рамок национального проекта, код бюджетной классификации Российской Федерации: </w:t>
      </w:r>
      <w:r>
        <w:rPr>
          <w:rStyle w:val="CharStyle10"/>
          <w:lang w:val="en-US" w:eastAsia="en-US"/>
        </w:rPr>
        <w:t>93803101000281430244.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 предусмотренном частью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22 </w:t>
      </w:r>
      <w:r>
        <w:rPr>
          <w:rStyle w:val="CharStyle10"/>
        </w:rPr>
        <w:t xml:space="preserve">Закона о контрактной системе) наиболее низкую цену контракта, наименьшую сумму цен таких единиц либо в случае предусмотренном пунктом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Закона о контрактной системе,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907" w:right="545" w:bottom="1193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</w:rPr>
        <w:t>лекарственных средств или при отсутствии таких наименований химические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Так, согласно Извещению, объектом закупки является Устройство усилительное электронной сирены (код ОКПД2 </w:t>
      </w:r>
      <w:r>
        <w:rPr>
          <w:rStyle w:val="CharStyle10"/>
          <w:lang w:val="en-US" w:eastAsia="en-US"/>
        </w:rPr>
        <w:t>26.30.50.114).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Заказчик нарушил требования 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 в части описания объекта закупки (ст. </w:t>
      </w:r>
      <w:r>
        <w:rPr>
          <w:rStyle w:val="CharStyle10"/>
          <w:lang w:val="en-US" w:eastAsia="en-US"/>
        </w:rPr>
        <w:t xml:space="preserve">33), </w:t>
      </w:r>
      <w:r>
        <w:rPr>
          <w:rStyle w:val="CharStyle10"/>
        </w:rPr>
        <w:t>разместив противоречивую информацию.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следующий электронный документ: описание объекта закупки в соответствии со статьей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Согласно 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настоящей статьи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Согласно доводу Заявителя, Предоставленные адреса установки ТСО в приложении к Контракту не соответствуют адресам в приложенной проектно</w:t>
        <w:softHyphen/>
        <w:t>технической документации. И как следствие не представляется возможным корректно оценить объём монтажных материалов и кабельной продукции по каждому адресу установки ТСО.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72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487" w:left="1106" w:header="677" w:footer="59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</w:t>
      </w:r>
      <w:r>
        <w:rPr>
          <w:rStyle w:val="CharStyle10"/>
          <w:sz w:val="24"/>
          <w:szCs w:val="24"/>
          <w:lang w:val="en-US" w:eastAsia="en-US"/>
        </w:rPr>
        <w:t>2026-3185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</w:rPr>
        <w:t>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0"/>
        </w:rPr>
        <w:t xml:space="preserve">Комиссией установлено, что согласно данным из ЕИС </w:t>
      </w:r>
      <w:r>
        <w:rPr>
          <w:rStyle w:val="CharStyle10"/>
          <w:lang w:val="en-US" w:eastAsia="en-US"/>
        </w:rPr>
        <w:t xml:space="preserve">04.05.2026 </w:t>
      </w:r>
      <w:r>
        <w:rPr>
          <w:rStyle w:val="CharStyle10"/>
        </w:rPr>
        <w:t>заказчиком получен запрос о даче разъяснений положений извещения об осуществлении закупки: «</w:t>
      </w:r>
      <w:r>
        <w:rPr>
          <w:rStyle w:val="CharStyle10"/>
          <w:i/>
          <w:iCs/>
        </w:rPr>
        <w:t>Уважаемый заказчик! Предоставленные адреса установки ТСО в приложении к Контракту не соответствуют адресам в приложенной проектно</w:t>
        <w:softHyphen/>
        <w:t>технической документации. И как следствие не представляется возможным корректно оценить объём монтажных материалов и кабельной продукции по каждому адресу установки ТСО. Просим внести изменения в закупочную документацию: необходимо скорректировать приложение к Контракту в соответствии с ПТД</w:t>
      </w:r>
      <w:r>
        <w:rPr>
          <w:rStyle w:val="CharStyle10"/>
        </w:rPr>
        <w:t>.».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0"/>
        </w:rPr>
        <w:t>Согласно ответу Заказчика: «</w:t>
      </w:r>
      <w:r>
        <w:rPr>
          <w:rStyle w:val="CharStyle10"/>
          <w:i/>
          <w:iCs/>
        </w:rPr>
        <w:t xml:space="preserve">В соответствии с Постановлением Правительства РФ от </w:t>
      </w:r>
      <w:r>
        <w:rPr>
          <w:rStyle w:val="CharStyle10"/>
          <w:i/>
          <w:iCs/>
          <w:lang w:val="en-US" w:eastAsia="en-US"/>
        </w:rPr>
        <w:t xml:space="preserve">17.05.2023 N 769 </w:t>
      </w:r>
      <w:r>
        <w:rPr>
          <w:rStyle w:val="CharStyle10"/>
          <w:i/>
          <w:iCs/>
        </w:rPr>
        <w:t>«О порядке создания, реконструкции и поддержания в состоянии постоянной готовности к использованию систем оповещения населения» согласование мест размещения технических средств оповещения, в том числе оконечных средств оповещения населения, осуществляется заказчиком проектно-технической документации в соответствии с законодательством Российской Федерации. В документацию, ранее выданную заказчику проектно-технической документации, допускается вносить обоснованные исправления, исключения или добавления данных. С целью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  <w:i/>
          <w:iCs/>
        </w:rPr>
        <w:t>обеспечения максимальной сохранности технических средств оповещения в процессе их эксплуатации и достижения максимального охвата населения техническими средствами оповещения принято решение об изменении мест установки технических средств оповещения, места установки оборудования согласованы с собственниками объектов. Обоснования изменений, в том числе расчетов количества и мест размещения технических средств оповещения населения, а также зон звукопокрытия оконечными средствами оповещения, вносятся в проектную документацию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0"/>
        </w:rPr>
        <w:t>Согласно письменным и устным пояснениям Заказчика МКУ «Управление по делам ГО ЧС г. Воронежа» принято решение об изменении мест установки технических средств оповещения с целью обеспечения их максимальной сохранности в процессе эксплуатации, а также достижения максимального охвата социально значимого населения (школьники, учащиеся, студенты) техническими средствами оповещения. Места установки оборудования согласованы с собственниками объектов.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0"/>
          <w:color w:val="0F1115"/>
        </w:rPr>
        <w:t xml:space="preserve">Таким образом, Заказчик обосновал изменение адресов и подтвердил намерение внести соответствующие корректировки в проектную документацию. Участник закупки, получивший данное разъяснение, имел возможность использовать его для расчета своих затрат и подготовки заявки. При таких обстоятельствах, учитывая социальную значимость муниципальной системы оповещения населения и необходимость её эффективного и своевременного функционирования, Комиссия Воронежского УФАС России не усматривает в действиях Заказчика нарушения статьи </w:t>
      </w:r>
      <w:r>
        <w:rPr>
          <w:rStyle w:val="CharStyle10"/>
          <w:color w:val="0F1115"/>
          <w:lang w:val="en-US" w:eastAsia="en-US"/>
        </w:rPr>
        <w:t xml:space="preserve">33 </w:t>
      </w:r>
      <w:r>
        <w:rPr>
          <w:rStyle w:val="CharStyle10"/>
          <w:color w:val="0F1115"/>
        </w:rPr>
        <w:t>Закона о контрактной системе, влекущего неоднозначное толкование требований к поставляемому оборудованию или ограничение конкуренции.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60"/>
        <w:jc w:val="both"/>
      </w:pPr>
      <w:r>
        <w:rPr>
          <w:rStyle w:val="CharStyle10"/>
        </w:rPr>
        <w:t xml:space="preserve">В составе закупочной документации размещена проектная документация, не соответствующая требованиям постановления Правительства РФ от </w:t>
      </w:r>
      <w:r>
        <w:rPr>
          <w:rStyle w:val="CharStyle10"/>
          <w:lang w:val="en-US" w:eastAsia="en-US"/>
        </w:rPr>
        <w:t xml:space="preserve">17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2023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769 </w:t>
      </w:r>
      <w:r>
        <w:rPr>
          <w:rStyle w:val="CharStyle10"/>
        </w:rPr>
        <w:t>«О порядке создания, реконструкции и поддержания в состоянии постоянной готовности к использованию систем оповещения населения».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В соответствии с абзацем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12.02.1998 № 28- </w:t>
      </w:r>
      <w:r>
        <w:rPr>
          <w:rStyle w:val="CharStyle10"/>
        </w:rPr>
        <w:t>ФЗ «О гражданской обороне» федеральные органы исполнительной власти в пределах своих полномочий принимают нормативные акты в области гражданской обороны, доводят их требования до сведения организаций, находящихся в их ведении, и контролируют их выполнение.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both"/>
      </w:pPr>
      <w:r>
        <w:rPr>
          <w:rStyle w:val="CharStyle10"/>
        </w:rPr>
        <w:t xml:space="preserve">Таким образом, в силу названной нормы контроль за выполнением требований Постановление Правительства РФ от </w:t>
      </w:r>
      <w:r>
        <w:rPr>
          <w:rStyle w:val="CharStyle10"/>
          <w:lang w:val="en-US" w:eastAsia="en-US"/>
        </w:rPr>
        <w:t xml:space="preserve">17.05.2023 N 769 </w:t>
      </w:r>
      <w:r>
        <w:rPr>
          <w:rStyle w:val="CharStyle10"/>
        </w:rPr>
        <w:t>"О порядке создания, реконструкции и поддержания в состоянии постоянной готовности к использованию систем оповещения населения" возложен на федеральные органы исполнительной власти, уполномоченные в области гражданской обороны, а не на антимонопольный орган. Комиссия Воронежского УФАС России не наделена полномочиями по оценке соответствия проектной документации требованиям указанного нормативного правового акта, в связи с чем жалоба в данной части подлежит направлению по компетенции в Главное управление МЧС России по Воронежской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На основании изложенного, Комиссия Воронежского УФАС России признает данный довод жалобы необоснованным и не подлежащим рассмотрению в рамках полномочий, предоставленных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0"/>
        </w:rPr>
        <w:t xml:space="preserve">Комиссия Воронежского УФАС России, руководствуясь статьями </w:t>
      </w:r>
      <w:r>
        <w:rPr>
          <w:rStyle w:val="CharStyle10"/>
          <w:lang w:val="en-US" w:eastAsia="en-US"/>
        </w:rPr>
        <w:t xml:space="preserve">99, 106 </w:t>
      </w:r>
      <w:r>
        <w:rPr>
          <w:rStyle w:val="CharStyle10"/>
        </w:rPr>
        <w:t>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440"/>
        <w:ind w:left="0" w:right="0" w:firstLine="720"/>
        <w:jc w:val="both"/>
      </w:pPr>
      <w:r>
        <w:rPr>
          <w:rStyle w:val="CharStyle10"/>
        </w:rPr>
        <w:t xml:space="preserve">Признать жалобу АО НПО «СЕНСОР» на действия МКУ «Управление по делам гражданской обороны и чрезвычайным ситуациям администрации городского округа город Воронеж» при проведении электронного аукциона на поставку оборудования для развития и поддержания в технически исправном состоянии Муниципальной системы оповещения городского округа город Воронеж (номер извещения </w:t>
      </w:r>
      <w:r>
        <w:rPr>
          <w:rStyle w:val="CharStyle10"/>
          <w:lang w:val="en-US" w:eastAsia="en-US"/>
        </w:rPr>
        <w:t xml:space="preserve">0131300000626000555) </w:t>
      </w:r>
      <w:r>
        <w:rPr>
          <w:rStyle w:val="CharStyle10"/>
        </w:rPr>
        <w:t>необоснованной.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440"/>
        <w:ind w:left="0" w:right="0" w:firstLine="720"/>
        <w:jc w:val="both"/>
      </w:pPr>
      <w:r>
        <w:rPr>
          <w:rStyle w:val="CharStyle10"/>
          <w:color w:val="0F1115"/>
        </w:rPr>
        <w:t xml:space="preserve">Направить настоящую жалобу в части довода о нарушении требований Постановления Правительства РФ от </w:t>
      </w:r>
      <w:r>
        <w:rPr>
          <w:rStyle w:val="CharStyle10"/>
          <w:color w:val="0F1115"/>
          <w:lang w:val="en-US" w:eastAsia="en-US"/>
        </w:rPr>
        <w:t xml:space="preserve">17.05.2023 № 769 </w:t>
      </w:r>
      <w:r>
        <w:rPr>
          <w:rStyle w:val="CharStyle10"/>
          <w:color w:val="0F1115"/>
        </w:rPr>
        <w:t>«О порядке создания реконструкции и поддержания в состоянии постоянной готовности к использованию систем оповещения населения» в Главное управление МЧС России по Воронежской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970" w:right="534" w:bottom="1131" w:left="1085" w:header="54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447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342900</wp:posOffset>
                </wp:positionV>
                <wp:extent cx="182562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7.pt;width:143.75pt;height:19.900000000000002pt;z-index:-125829373;mso-wrap-distance-left:0;mso-wrap-distance-top:27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4670" simplePos="0" relativeHeight="125829382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434340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504190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30000000000001pt;margin-top:39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4470" distL="0" distR="0" simplePos="0" relativeHeight="125829383" behindDoc="0" locked="0" layoutInCell="1" allowOverlap="1">
                <wp:simplePos x="0" y="0"/>
                <wp:positionH relativeFrom="page">
                  <wp:posOffset>6103620</wp:posOffset>
                </wp:positionH>
                <wp:positionV relativeFrom="paragraph">
                  <wp:posOffset>342900</wp:posOffset>
                </wp:positionV>
                <wp:extent cx="1082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Р.В. Колмаков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0.60000000000002pt;margin-top:27.pt;width:85.200000000000003pt;height:19.900000000000002pt;z-index:-125829370;mso-wrap-distance-left:0;mso-wrap-distance-top:27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Р.В. Колмаков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  <w:sz w:val="11"/>
          <w:szCs w:val="11"/>
        </w:rPr>
        <w:t>Колмаков Руслан Владимирович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2209521453E31D521862191D98157328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11.04.2025 </w:t>
      </w:r>
      <w:r>
        <w:rPr>
          <w:rStyle w:val="CharStyle27"/>
          <w:color w:val="5D5D5D"/>
        </w:rPr>
        <w:t xml:space="preserve">по </w:t>
      </w:r>
      <w:r>
        <w:rPr>
          <w:rStyle w:val="CharStyle27"/>
        </w:rPr>
        <w:t>05.07.2026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60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0" distL="0" distR="0" simplePos="0" relativeHeight="125829385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88900</wp:posOffset>
                </wp:positionV>
                <wp:extent cx="1789430" cy="4540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450000000000003pt;margin-top:7.pt;width:140.90000000000001pt;height:35.75pt;z-index:-125829368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Заместитель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36195" distL="0" distR="0" simplePos="0" relativeHeight="125829387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247650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30000000000001pt;margin-top:19.5pt;width:135.59999999999999pt;height:20.400000000000002pt;z-index:-125829366;mso-wrap-distance-left:0;mso-wrap-distance-top:19.5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3835" distL="0" distR="0" simplePos="0" relativeHeight="125829389" behindDoc="0" locked="0" layoutInCell="1" allowOverlap="1">
                <wp:simplePos x="0" y="0"/>
                <wp:positionH relativeFrom="page">
                  <wp:posOffset>6149340</wp:posOffset>
                </wp:positionH>
                <wp:positionV relativeFrom="paragraph">
                  <wp:posOffset>88900</wp:posOffset>
                </wp:positionV>
                <wp:extent cx="10363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И.А. Тельпов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19999999999999pt;margin-top:7.pt;width:81.600000000000009pt;height:19.699999999999999pt;z-index:-125829364;mso-wrap-distance-left:0;mso-wrap-distance-top: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И.А. Тельпов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  <w:sz w:val="11"/>
          <w:szCs w:val="11"/>
        </w:rPr>
        <w:t>Тельпов Иван Алексеевич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6CEC332F1</w:t>
      </w:r>
      <w:r>
        <w:rPr>
          <w:rStyle w:val="CharStyle27"/>
        </w:rPr>
        <w:t>31</w:t>
      </w:r>
      <w:r>
        <w:rPr>
          <w:rStyle w:val="CharStyle27"/>
          <w:lang w:val="en-US" w:eastAsia="en-US"/>
        </w:rPr>
        <w:t>46B508CCFEAD9FB3F1</w:t>
      </w:r>
      <w:r>
        <w:rPr>
          <w:rStyle w:val="CharStyle27"/>
        </w:rPr>
        <w:t>900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18.06.2025 </w:t>
      </w:r>
      <w:r>
        <w:rPr>
          <w:rStyle w:val="CharStyle27"/>
          <w:color w:val="5D5D5D"/>
        </w:rPr>
        <w:t>по 1</w:t>
      </w:r>
      <w:r>
        <w:rPr>
          <w:rStyle w:val="CharStyle27"/>
        </w:rPr>
        <w:t>1.09.2026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204470" distL="0" distR="0" simplePos="0" relativeHeight="12582939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7.pt;width:92.400000000000006pt;height:19.900000000000002pt;z-index:-125829362;mso-wrap-distance-left:0;mso-wrap-distance-top:7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4670" simplePos="0" relativeHeight="125829393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180340</wp:posOffset>
            </wp:positionV>
            <wp:extent cx="316865" cy="36576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25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4470" distL="0" distR="0" simplePos="0" relativeHeight="125829394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88900</wp:posOffset>
                </wp:positionV>
                <wp:extent cx="106362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У.А. Гуськова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5pt;margin-top:7.pt;width:83.75pt;height:19.900000000000002pt;z-index:-125829359;mso-wrap-distance-left:0;mso-wrap-distance-top:7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У.А. Гуськова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4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  <w:sz w:val="11"/>
          <w:szCs w:val="11"/>
        </w:rPr>
        <w:t>Гуськова Ульяна Алексеевна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00C838BAE35A8F17E3C8A51AE0E53CC0C</w:t>
      </w:r>
      <w:r>
        <w:rPr>
          <w:rStyle w:val="CharStyle27"/>
          <w:lang w:val="en-US" w:eastAsia="en-US"/>
        </w:rPr>
        <w:t>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7"/>
        </w:rPr>
        <w:t xml:space="preserve">Действителен с 13.10.2025 </w:t>
      </w:r>
      <w:r>
        <w:rPr>
          <w:rStyle w:val="CharStyle27"/>
          <w:color w:val="5D5D5D"/>
        </w:rPr>
        <w:t xml:space="preserve">по </w:t>
      </w:r>
      <w:r>
        <w:rPr>
          <w:rStyle w:val="CharStyle27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606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10038715</wp:posOffset>
              </wp:positionV>
              <wp:extent cx="63119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2026-3185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00000000000004pt;margin-top:790.45000000000005pt;width:49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2026-3185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9999345</wp:posOffset>
              </wp:positionV>
              <wp:extent cx="63119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2026-3185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550000000000004pt;margin-top:787.35000000000002pt;width:49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2026-3185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10038715</wp:posOffset>
              </wp:positionV>
              <wp:extent cx="63119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2026-3185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90.45000000000005pt;width:49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2026-3185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28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1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5E9D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