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813435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20920/26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049999999999997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20920/26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140" w:right="0" w:firstLine="0"/>
        <w:jc w:val="both"/>
      </w:pPr>
      <w:r>
        <w:rPr>
          <w:rStyle w:val="CharStyle7"/>
        </w:rPr>
        <w:t xml:space="preserve">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 xml:space="preserve">ДЗМ </w:t>
      </w:r>
      <w:r>
        <w:fldChar w:fldCharType="begin"/>
      </w:r>
      <w:r>
        <w:rPr/>
        <w:instrText> HYPERLINK "mailto:gp134@zdrav.mos.ru" </w:instrText>
      </w:r>
      <w:r>
        <w:fldChar w:fldCharType="separate"/>
      </w:r>
      <w:r>
        <w:rPr>
          <w:rStyle w:val="CharStyle7"/>
          <w:lang w:val="en-US" w:eastAsia="en-US"/>
        </w:rPr>
        <w:t>gp134@zdrav.mos.ru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«УМК» </w:t>
      </w:r>
      <w:r>
        <w:fldChar w:fldCharType="begin"/>
      </w:r>
      <w:r>
        <w:rPr/>
        <w:instrText> HYPERLINK "mailto:ymkayral@list.ru" </w:instrText>
      </w:r>
      <w:r>
        <w:fldChar w:fldCharType="separate"/>
      </w:r>
      <w:r>
        <w:rPr>
          <w:rStyle w:val="CharStyle7"/>
          <w:lang w:val="en-US" w:eastAsia="en-US"/>
        </w:rPr>
        <w:t>ymkayral@list.ru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0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077/06/105-6019/2026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13.05.2026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767" w:val="left"/>
          <w:tab w:pos="91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818" w:val="left"/>
          <w:tab w:pos="6767" w:val="left"/>
          <w:tab w:pos="91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 xml:space="preserve">ДЗМ: В.В. Поляковского (по дов. от </w:t>
      </w:r>
      <w:r>
        <w:rPr>
          <w:rStyle w:val="CharStyle7"/>
          <w:lang w:val="en-US" w:eastAsia="en-US"/>
        </w:rPr>
        <w:t xml:space="preserve">12.12.2025 </w:t>
      </w:r>
      <w:r>
        <w:rPr>
          <w:rStyle w:val="CharStyle7"/>
        </w:rPr>
        <w:t xml:space="preserve">№б/н), С.С. Шершака (по дов. от </w:t>
      </w:r>
      <w:r>
        <w:rPr>
          <w:rStyle w:val="CharStyle7"/>
          <w:lang w:val="en-US" w:eastAsia="en-US"/>
        </w:rPr>
        <w:t xml:space="preserve">12.12.2025 </w:t>
      </w:r>
      <w:r>
        <w:rPr>
          <w:rStyle w:val="CharStyle7"/>
        </w:rPr>
        <w:t>№б/н);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отсутствие представителей ООО «УМК»,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06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рассмотрев жалобу ООО «УМК»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Заявитель) на действия 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 xml:space="preserve">ДЗМ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шовного материала для нужд 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 xml:space="preserve">ДЗМ (Закупка </w:t>
      </w:r>
      <w:r>
        <w:rPr>
          <w:rStyle w:val="CharStyle7"/>
          <w:lang w:val="en-US" w:eastAsia="en-US"/>
        </w:rPr>
        <w:t>№</w:t>
        <w:tab/>
        <w:t xml:space="preserve">0373200578926000028)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>–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электронный аукцион, 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>№44-ФЗ «О контрактной системе в сфере закупок товаров, работ, услуг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4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оспаривает положения извещения об осуществлении закупки, указывая на неправомерность установления преимуществ в отношении закупаемых расходных материалов, имеющих в своем составе иглу,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№1875), </w:t>
      </w:r>
      <w:r>
        <w:rPr>
          <w:rStyle w:val="CharStyle7"/>
        </w:rPr>
        <w:t xml:space="preserve">поскольку, по мнению Заявителя, данные изделия имеют код ОКПД2 </w:t>
      </w:r>
      <w:r>
        <w:rPr>
          <w:rStyle w:val="CharStyle7"/>
          <w:lang w:val="en-US" w:eastAsia="en-US"/>
        </w:rPr>
        <w:t xml:space="preserve">21.20.24.120 </w:t>
      </w:r>
      <w:r>
        <w:rPr>
          <w:rStyle w:val="CharStyle7"/>
        </w:rPr>
        <w:t xml:space="preserve">«Шовные материалы», который относится к позиции п.385 перечня товаров по приложению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согласно описанию объектов закупки Заказчиком закупаются расходные материалы, например, по п.1 «Нить хирургическая из полиолефина, мононить Идентификатор: </w:t>
      </w:r>
      <w:r>
        <w:rPr>
          <w:rStyle w:val="CharStyle7"/>
          <w:lang w:val="en-US" w:eastAsia="en-US"/>
        </w:rPr>
        <w:t xml:space="preserve">213116908», </w:t>
      </w:r>
      <w:r>
        <w:rPr>
          <w:rStyle w:val="CharStyle7"/>
        </w:rPr>
        <w:t xml:space="preserve">с установленными, в частности, требованиями: «Длина </w:t>
      </w:r>
      <w:r>
        <w:rPr>
          <w:rStyle w:val="CharStyle7"/>
          <w:lang w:val="en-US" w:eastAsia="en-US"/>
        </w:rPr>
        <w:t xml:space="preserve">иглы:≥ 16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17; </w:t>
      </w:r>
      <w:r>
        <w:rPr>
          <w:rStyle w:val="CharStyle7"/>
        </w:rPr>
        <w:t xml:space="preserve">Количество игл на нити: </w:t>
      </w:r>
      <w:r>
        <w:rPr>
          <w:rStyle w:val="CharStyle7"/>
          <w:lang w:val="en-US" w:eastAsia="en-US"/>
        </w:rPr>
        <w:t xml:space="preserve">≥ 1; </w:t>
      </w:r>
      <w:r>
        <w:rPr>
          <w:rStyle w:val="CharStyle7"/>
        </w:rPr>
        <w:t>Кривизна иглы:3/8; Материал изготовления иглы: Сталь; Тип иглы: Режущая.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с п.1 ч.2 ст.14 Закона о контрактной системе, положения ст.14 Закона о контрактной системе, касающиеся товара российского происхождения, работы, услуги, </w:t>
      </w:r>
      <w:r>
        <w:rPr>
          <w:rStyle w:val="CharStyle7"/>
          <w:sz w:val="24"/>
          <w:szCs w:val="24"/>
          <w:lang w:val="en-US" w:eastAsia="en-US"/>
        </w:rPr>
        <w:t>2026-24232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</w:t>
      </w:r>
      <w:r>
        <w:rPr>
          <w:rStyle w:val="CharStyle7"/>
          <w:sz w:val="24"/>
          <w:szCs w:val="24"/>
          <w:lang w:val="en-US" w:eastAsia="en-US"/>
        </w:rPr>
        <w:t>2026-24232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определено, что в извещении об осуществлении закупки Заказчиком установлено преимущество в отношении товаров российского происхождения на основании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В силу п.1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установить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35" w:right="543" w:bottom="719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П.4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определяет, что позиции 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 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2008)», </w:t>
      </w:r>
      <w:r>
        <w:rPr>
          <w:rStyle w:val="CharStyle7"/>
        </w:rPr>
        <w:t xml:space="preserve">или если в объект закупки включен товар, наименование которого указано в графе «Наименование товара» и который </w:t>
      </w:r>
      <w:r>
        <w:rPr>
          <w:rStyle w:val="CharStyle7"/>
          <w:sz w:val="24"/>
          <w:szCs w:val="24"/>
          <w:lang w:val="en-US" w:eastAsia="en-US"/>
        </w:rPr>
        <w:t>2026-24232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2008)». </w:t>
      </w:r>
      <w:r>
        <w:rPr>
          <w:rStyle w:val="CharStyle7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по всем позициям с иглой Заказчик закупает не иглы как самостоятельный товар, а шовный материал либо нить хирургическую, в описании которой игла указана как составной элемент медицинского изделия, обеспечивающий его применение по назначению.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Представитель Заказчика отметил, что Заказчик исходил из наименования, функционального назначения и вида медицинского изделия, включенного в извещение. Закупаемые товары квалифицированы как шовные материалы, а не как хирургические иглы либо инструменты колющие, и материалы рассматриваемого дела не содержат оснований для иной правовой оценки.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Шовный материал является самостоятельным медицинским изделием, предназначенным для соединения краев раны либо перевязки сосудов, тогда как игла служит элементом доставки такого материала и не изменяет правовую природу закупаемого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Управления отмечает, что в силу пп. «п»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предусмотренное п.1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ограничение закупок товаров, указанных в позициях </w:t>
      </w:r>
      <w:r>
        <w:rPr>
          <w:rStyle w:val="CharStyle7"/>
          <w:lang w:val="en-US" w:eastAsia="en-US"/>
        </w:rPr>
        <w:t xml:space="preserve">362 — 432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применяется при осуществлении закупок товаров, являющихся медицинскими изделиями.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Вместе с этим код ОКПД2 </w:t>
      </w:r>
      <w:r>
        <w:rPr>
          <w:rStyle w:val="CharStyle7"/>
          <w:lang w:val="en-US" w:eastAsia="en-US"/>
        </w:rPr>
        <w:t xml:space="preserve">21.20.24.120 </w:t>
      </w:r>
      <w:r>
        <w:rPr>
          <w:rStyle w:val="CharStyle7"/>
        </w:rPr>
        <w:t xml:space="preserve">«Шовные материалы» указан в позиции </w:t>
      </w:r>
      <w:r>
        <w:rPr>
          <w:rStyle w:val="CharStyle7"/>
          <w:lang w:val="en-US" w:eastAsia="en-US"/>
        </w:rPr>
        <w:t xml:space="preserve">385 </w:t>
      </w:r>
      <w:r>
        <w:rPr>
          <w:rStyle w:val="CharStyle7"/>
        </w:rPr>
        <w:t xml:space="preserve">«Иглы хирургические; инструменты колющие; шприцы»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Кроме того, согласно абз.3 п.3.2 информационного письма Министерства финансов Российской Федерации от </w:t>
      </w:r>
      <w:r>
        <w:rPr>
          <w:rStyle w:val="CharStyle7"/>
          <w:lang w:val="en-US" w:eastAsia="en-US"/>
        </w:rPr>
        <w:t xml:space="preserve">31.01.2025 № 24-01-06/8697 </w:t>
      </w:r>
      <w:r>
        <w:rPr>
          <w:rStyle w:val="CharStyle7"/>
        </w:rPr>
        <w:t xml:space="preserve">при применении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закупки), наименованиями, указанным в перечнях </w:t>
      </w:r>
      <w:r>
        <w:rPr>
          <w:rStyle w:val="CharStyle7"/>
          <w:lang w:val="en-US" w:eastAsia="en-US"/>
        </w:rPr>
        <w:t>№1-№3.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Таким образом, Комиссия Управления приходит к выводу, что Заказчиком неправомерно установлено преимущество к закупаемым товарам в соответствии с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Аналогичная позиция изложена в решении ФАС России от </w:t>
      </w:r>
      <w:r>
        <w:rPr>
          <w:rStyle w:val="CharStyle7"/>
          <w:lang w:val="en-US" w:eastAsia="en-US"/>
        </w:rPr>
        <w:t xml:space="preserve">17.04.2025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25/44/99/П21.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0" w:right="552" w:bottom="1596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Таким образом, Комиссия Управления приходит к выводу, о нарушении Заказчиком ч.1 ст.14, п.15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 xml:space="preserve">Признать жалобу ООО «УМК» на действия 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>ДЗМ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Признать в действиях Заказчика нарушение ч.1 ст.14, п.15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6" w:val="left"/>
        </w:tabs>
        <w:bidi w:val="0"/>
        <w:spacing w:before="0" w:after="280" w:line="240" w:lineRule="auto"/>
        <w:ind w:left="0" w:right="0" w:firstLine="62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1907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533400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42.pt;width:145.20000000000002pt;height:19.699999999999999pt;z-index:-125829372;mso-wrap-distance-left:0;mso-wrap-distance-top:42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3" behindDoc="0" locked="0" layoutInCell="1" allowOverlap="1">
            <wp:simplePos x="0" y="0"/>
            <wp:positionH relativeFrom="page">
              <wp:posOffset>3321050</wp:posOffset>
            </wp:positionH>
            <wp:positionV relativeFrom="paragraph">
              <wp:posOffset>606425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3741420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4.60000000000002pt;margin-top:54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19075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533400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25pt;margin-top:42.pt;width:102.95pt;height:19.699999999999999pt;z-index:-125829369;mso-wrap-distance-left:0;mso-wrap-distance-top:42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860" w:right="0" w:firstLine="0"/>
        <w:jc w:val="left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67950889C45403E5BD9EBC88A8D80C0D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6"/>
        </w:rPr>
        <w:t xml:space="preserve">Действителен с 19.05.2025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280"/>
        <w:jc w:val="lef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3345180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3741420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4.60000000000002pt;margin-top:11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Гелмутдинова А.С.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860" w:right="0" w:firstLine="0"/>
        <w:jc w:val="left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ГЕЛМУТДИНОВА АНАСТАСИЯ СЕРГЕЕВНА</w:t>
      </w:r>
      <w:r>
        <w:rPr>
          <w:rStyle w:val="CharStyle26"/>
          <w:color w:val="000000"/>
          <w:sz w:val="11"/>
          <w:szCs w:val="11"/>
        </w:rPr>
        <w:t xml:space="preserve"> </w:t>
      </w: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</w:rPr>
        <w:t>723501СС21703599976371</w:t>
      </w:r>
      <w:r>
        <w:rPr>
          <w:rStyle w:val="CharStyle26"/>
          <w:lang w:val="en-US" w:eastAsia="en-US"/>
        </w:rPr>
        <w:t>4F5C652689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6"/>
        </w:rPr>
        <w:t xml:space="preserve">Действителен с 09.02.2026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05.05.2027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2" w:bottom="12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0690" distB="635" distL="0" distR="0" simplePos="0" relativeHeight="125829387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440690</wp:posOffset>
                </wp:positionV>
                <wp:extent cx="2191385" cy="7708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7708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451"/>
                            </w:tblGrid>
                            <w:tr>
                              <w:trPr>
                                <w:tblHeader/>
                                <w:trHeight w:val="514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2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rFonts w:ascii="Georgia" w:eastAsia="Georgia" w:hAnsi="Georgia" w:cs="Georgia"/>
                                      <w:color w:val="292929"/>
                                      <w:sz w:val="11"/>
                                      <w:szCs w:val="11"/>
                                    </w:rPr>
                                    <w:t>Подлинник электронного документа, подписанного ЭП, хранится в системе электронного документооборота ФАС России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9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000000"/>
                                      <w:left w:val="single" w:sz="0" w:space="0" w:color="000000"/>
                                      <w:bottom w:val="single" w:sz="0" w:space="0" w:color="000000"/>
                                      <w:right w:val="single" w:sz="0" w:space="0" w:color="000000"/>
                                    </w:pBdr>
                                    <w:shd w:val="clear" w:color="auto" w:fill="000000"/>
                                    <w:tabs>
                                      <w:tab w:pos="3320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68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color w:val="FFFFFF"/>
                                      <w:sz w:val="11"/>
                                      <w:szCs w:val="11"/>
                                    </w:rPr>
                                    <w:t>СВЕДЕНИЯ О СЕРТИФИКАТЕ ЭП</w:t>
                                    <w:tab/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2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color w:val="434343"/>
                                      <w:sz w:val="12"/>
                                      <w:szCs w:val="12"/>
                                    </w:rPr>
                                    <w:t xml:space="preserve">Кому выдан: </w:t>
                                  </w: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sz w:val="11"/>
                                      <w:szCs w:val="11"/>
                                    </w:rPr>
                                    <w:t>ПЕРЕВЕРЗЕВА ЕЛИЗАВЕТА СЕРГЕЕВНА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color w:val="434343"/>
                                      <w:sz w:val="12"/>
                                      <w:szCs w:val="12"/>
                                    </w:rPr>
                                    <w:t xml:space="preserve">Сертификат № </w:t>
                                  </w: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color w:val="434343"/>
                                      <w:sz w:val="12"/>
                                      <w:szCs w:val="12"/>
                                      <w:lang w:val="en-US" w:eastAsia="en-US"/>
                                    </w:rPr>
                                    <w:t>00FFF3ACD3A01A73F4C680C3941E3CA026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color w:val="434343"/>
                                      <w:sz w:val="12"/>
                                      <w:szCs w:val="12"/>
                                    </w:rPr>
                                    <w:t xml:space="preserve">Действителен с 11.12.2025 </w:t>
                                  </w: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color w:val="5E5E5E"/>
                                      <w:sz w:val="12"/>
                                      <w:szCs w:val="12"/>
                                    </w:rPr>
                                    <w:t xml:space="preserve">по </w:t>
                                  </w:r>
                                  <w:r>
                                    <w:rPr>
                                      <w:rStyle w:val="CharStyle19"/>
                                      <w:rFonts w:ascii="Arial" w:eastAsia="Arial" w:hAnsi="Arial" w:cs="Arial"/>
                                      <w:color w:val="434343"/>
                                      <w:sz w:val="12"/>
                                      <w:szCs w:val="12"/>
                                    </w:rPr>
                                    <w:t>06.03.2027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3.85000000000002pt;margin-top:34.700000000000003pt;width:172.55000000000001pt;height:60.700000000000003pt;z-index:-125829366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451"/>
                      </w:tblGrid>
                      <w:tr>
                        <w:trPr>
                          <w:tblHeader/>
                          <w:trHeight w:val="514" w:hRule="exact"/>
                        </w:trPr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2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9"/>
                                <w:rFonts w:ascii="Georgia" w:eastAsia="Georgia" w:hAnsi="Georgia" w:cs="Georgia"/>
                                <w:color w:val="292929"/>
                                <w:sz w:val="11"/>
                                <w:szCs w:val="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c>
                      </w:tr>
                      <w:tr>
                        <w:trPr>
                          <w:trHeight w:val="139" w:hRule="exact"/>
                        </w:trPr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00000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tabs>
                                <w:tab w:pos="33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68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FFFFFF"/>
                                <w:sz w:val="11"/>
                                <w:szCs w:val="11"/>
                              </w:rPr>
                              <w:t>СВЕДЕНИЯ О СЕРТИФИКАТЕ ЭП</w:t>
                              <w:tab/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62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434343"/>
                                <w:sz w:val="12"/>
                                <w:szCs w:val="12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sz w:val="11"/>
                                <w:szCs w:val="11"/>
                              </w:rPr>
                              <w:t>ПЕРЕВЕРЗЕВА ЕЛИЗАВЕТА СЕРГЕЕВНА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434343"/>
                                <w:sz w:val="12"/>
                                <w:szCs w:val="12"/>
                              </w:rPr>
                              <w:t xml:space="preserve">Сертификат № </w:t>
                            </w: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434343"/>
                                <w:sz w:val="12"/>
                                <w:szCs w:val="12"/>
                                <w:lang w:val="en-US" w:eastAsia="en-US"/>
                              </w:rPr>
                              <w:t>00FFF3ACD3A01A73F4C680C3941E3CA026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434343"/>
                                <w:sz w:val="12"/>
                                <w:szCs w:val="12"/>
                              </w:rPr>
                              <w:t xml:space="preserve">Действителен с 11.12.2025 </w:t>
                            </w: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5E5E5E"/>
                                <w:sz w:val="12"/>
                                <w:szCs w:val="12"/>
                              </w:rPr>
                              <w:t xml:space="preserve">по </w:t>
                            </w: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434343"/>
                                <w:sz w:val="12"/>
                                <w:szCs w:val="12"/>
                              </w:rPr>
                              <w:t>06.03.2027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680085" distL="0" distR="0" simplePos="0" relativeHeight="125829389" behindDoc="0" locked="0" layoutInCell="1" allowOverlap="1">
                <wp:simplePos x="0" y="0"/>
                <wp:positionH relativeFrom="page">
                  <wp:posOffset>5889625</wp:posOffset>
                </wp:positionH>
                <wp:positionV relativeFrom="paragraph">
                  <wp:posOffset>279400</wp:posOffset>
                </wp:positionV>
                <wp:extent cx="132588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Переверзева Е.С.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3.75pt;margin-top:22.pt;width:104.40000000000001pt;height:19.900000000000002pt;z-index:-125829364;mso-wrap-distance-left:0;mso-wrap-distance-top:22.pt;mso-wrap-distance-right:0;mso-wrap-distance-bottom:53.55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Переверзева Е.С.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11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10300335</wp:posOffset>
              </wp:positionV>
              <wp:extent cx="731520" cy="730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2026-24232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149999999999999pt;margin-top:811.05000000000007pt;width:57.60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2026-24232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5.30000000000007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492125</wp:posOffset>
              </wp:positionV>
              <wp:extent cx="6985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38.75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465455</wp:posOffset>
              </wp:positionV>
              <wp:extent cx="52070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36.649999999999999pt;width:4.0999999999999996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Other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2">
    <w:name w:val="Body text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66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Other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41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