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10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9"/>
        <w:keepNext/>
        <w:keepLines/>
        <w:widowControl w:val="0"/>
        <w:shd w:val="clear" w:color="auto" w:fill="auto"/>
        <w:tabs>
          <w:tab w:pos="1814" w:val="left"/>
        </w:tabs>
        <w:bidi w:val="0"/>
        <w:spacing w:before="0" w:after="0" w:line="240" w:lineRule="auto"/>
        <w:ind w:left="0" w:right="0" w:firstLine="0"/>
        <w:jc w:val="center"/>
      </w:pPr>
      <w:bookmarkStart w:id="0" w:name="bookmark0"/>
      <w:r>
        <w:rPr>
          <w:rStyle w:val="CharStyle10"/>
        </w:rPr>
        <w:t>1</w:t>
      </w:r>
      <w:r>
        <w:fldChar w:fldCharType="begin"/>
      </w:r>
      <w:r>
        <w:rPr/>
        <w:instrText> HYPERLINK "file://f207ca94-a13c-4ba0-b72d-f018c9eed8f1/" </w:instrText>
      </w:r>
      <w:r>
        <w:fldChar w:fldCharType="separate"/>
      </w:r>
      <w:r>
        <w:rPr>
          <w:rStyle w:val="CharStyle10"/>
        </w:rPr>
        <w:t>8.05.2026</w:t>
      </w:r>
      <w:r>
        <w:fldChar w:fldCharType="end"/>
      </w:r>
      <w:r>
        <w:rPr>
          <w:rStyle w:val="CharStyle10"/>
        </w:rPr>
        <w:tab/>
        <w:t>№ 20949/26</w:t>
      </w:r>
      <w:bookmarkEnd w:id="0"/>
    </w:p>
    <w:p>
      <w:pPr>
        <w:spacing w:lineRule="exact" w:line="1"/>
        <w:rPr>
          <w:sz w:val="2"/>
          <w:szCs w:val="2"/>
        </w:rPr>
      </w:pPr>
      <w:r>
        <w:br w:type="column"/>
      </w:r>
    </w:p>
    <w:p>
      <w:pPr>
        <w:pStyle w:val="Style11"/>
        <w:keepNext w:val="0"/>
        <w:keepLines w:val="0"/>
        <w:widowControl w:val="0"/>
        <w:shd w:val="clear" w:color="auto" w:fill="auto"/>
        <w:bidi w:val="0"/>
        <w:spacing w:before="0" w:after="200" w:line="211" w:lineRule="auto"/>
        <w:ind w:left="0" w:right="0" w:firstLine="0"/>
        <w:jc w:val="left"/>
      </w:pPr>
      <w:r>
        <w:rPr>
          <w:rStyle w:val="CharStyle12"/>
        </w:rPr>
        <w:t>ФКУ «Объединенная дирекция» Минстроя России</w:t>
      </w:r>
    </w:p>
    <w:p>
      <w:pPr>
        <w:pStyle w:val="Style11"/>
        <w:keepNext w:val="0"/>
        <w:keepLines w:val="0"/>
        <w:widowControl w:val="0"/>
        <w:shd w:val="clear" w:color="auto" w:fill="auto"/>
        <w:bidi w:val="0"/>
        <w:spacing w:before="0" w:after="200" w:line="211" w:lineRule="auto"/>
        <w:ind w:left="0" w:right="0" w:firstLine="0"/>
        <w:jc w:val="left"/>
      </w:pPr>
      <w:r>
        <w:fldChar w:fldCharType="begin"/>
      </w:r>
      <w:r>
        <w:rPr/>
        <w:instrText> HYPERLINK "mailto:zakupki@guod.ru" </w:instrText>
      </w:r>
      <w:r>
        <w:fldChar w:fldCharType="separate"/>
      </w:r>
      <w:r>
        <w:rPr>
          <w:rStyle w:val="CharStyle12"/>
          <w:lang w:val="en-US" w:eastAsia="en-US"/>
        </w:rPr>
        <w:t>zakupki@guod.ru</w:t>
      </w:r>
      <w:r>
        <w:fldChar w:fldCharType="end"/>
      </w:r>
    </w:p>
    <w:p>
      <w:pPr>
        <w:pStyle w:val="Style11"/>
        <w:keepNext w:val="0"/>
        <w:keepLines w:val="0"/>
        <w:widowControl w:val="0"/>
        <w:shd w:val="clear" w:color="auto" w:fill="auto"/>
        <w:bidi w:val="0"/>
        <w:spacing w:before="0" w:after="200" w:line="211" w:lineRule="auto"/>
        <w:ind w:left="0" w:right="0" w:firstLine="0"/>
        <w:jc w:val="left"/>
      </w:pPr>
      <w:r>
        <w:rPr>
          <w:rStyle w:val="CharStyle12"/>
        </w:rPr>
        <w:t>ООО «КВАЗАР»</w:t>
      </w:r>
    </w:p>
    <w:p>
      <w:pPr>
        <w:pStyle w:val="Style11"/>
        <w:keepNext w:val="0"/>
        <w:keepLines w:val="0"/>
        <w:widowControl w:val="0"/>
        <w:shd w:val="clear" w:color="auto" w:fill="auto"/>
        <w:bidi w:val="0"/>
        <w:spacing w:before="0" w:after="0" w:line="211" w:lineRule="auto"/>
        <w:ind w:left="0" w:right="0" w:firstLine="0"/>
        <w:jc w:val="left"/>
        <w:sectPr>
          <w:footerReference w:type="default" r:id="rId7"/>
          <w:footnotePr>
            <w:pos w:val="pageBottom"/>
            <w:numFmt w:val="decimal"/>
            <w:numRestart w:val="continuous"/>
          </w:footnotePr>
          <w:pgSz w:w="11900" w:h="16840"/>
          <w:pgMar w:top="294" w:right="1587" w:bottom="584" w:left="1293" w:header="0" w:footer="3" w:gutter="0"/>
          <w:pgNumType w:start="1"/>
          <w:cols w:num="2" w:space="1205"/>
          <w:noEndnote/>
          <w:rtlGutter w:val="0"/>
          <w:docGrid w:linePitch="360"/>
        </w:sectPr>
      </w:pPr>
      <w:r>
        <w:fldChar w:fldCharType="begin"/>
      </w:r>
      <w:r>
        <w:rPr/>
        <w:instrText> HYPERLINK "mailto:info@kvazar.ooo" </w:instrText>
      </w:r>
      <w:r>
        <w:fldChar w:fldCharType="separate"/>
      </w:r>
      <w:r>
        <w:rPr>
          <w:rStyle w:val="CharStyle12"/>
          <w:lang w:val="en-US" w:eastAsia="en-US"/>
        </w:rPr>
        <w:t>info@kvazar.ooo</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3" w:after="5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94" w:right="0" w:bottom="584" w:left="0" w:header="0" w:footer="3" w:gutter="0"/>
          <w:cols w:space="720"/>
          <w:noEndnote/>
          <w:rtlGutter w:val="0"/>
          <w:docGrid w:linePitch="360"/>
        </w:sectPr>
      </w:pPr>
    </w:p>
    <w:p>
      <w:pPr>
        <w:pStyle w:val="Style11"/>
        <w:keepNext w:val="0"/>
        <w:keepLines w:val="0"/>
        <w:widowControl w:val="0"/>
        <w:shd w:val="clear" w:color="auto" w:fill="auto"/>
        <w:bidi w:val="0"/>
        <w:spacing w:before="0" w:after="0" w:line="240" w:lineRule="auto"/>
        <w:ind w:left="0" w:right="0" w:firstLine="0"/>
        <w:jc w:val="center"/>
      </w:pPr>
      <w:r>
        <w:rPr>
          <w:rStyle w:val="CharStyle12"/>
          <w:b/>
          <w:bCs/>
        </w:rPr>
        <w:t>РЕШЕНИЕ</w:t>
      </w:r>
    </w:p>
    <w:p>
      <w:pPr>
        <w:pStyle w:val="Style11"/>
        <w:keepNext w:val="0"/>
        <w:keepLines w:val="0"/>
        <w:widowControl w:val="0"/>
        <w:shd w:val="clear" w:color="auto" w:fill="auto"/>
        <w:tabs>
          <w:tab w:pos="8947" w:val="left"/>
        </w:tabs>
        <w:bidi w:val="0"/>
        <w:spacing w:before="0" w:after="0" w:line="240" w:lineRule="auto"/>
        <w:ind w:left="0" w:right="0" w:firstLine="0"/>
        <w:jc w:val="center"/>
      </w:pPr>
      <w:r>
        <w:rPr>
          <w:rStyle w:val="CharStyle12"/>
          <w:b/>
          <w:bCs/>
        </w:rPr>
        <w:t xml:space="preserve">по делу </w:t>
      </w:r>
      <w:r>
        <w:rPr>
          <w:rStyle w:val="CharStyle12"/>
          <w:b/>
          <w:bCs/>
          <w:lang w:val="en-US" w:eastAsia="en-US"/>
        </w:rPr>
        <w:t xml:space="preserve">№ 077/06/105-6021/2026 </w:t>
      </w:r>
      <w:r>
        <w:rPr>
          <w:rStyle w:val="CharStyle12"/>
          <w:b/>
          <w:bCs/>
        </w:rPr>
        <w:t>о нарушении</w:t>
        <w:br/>
        <w:t>законодательства о контрактной системе</w:t>
        <w:br/>
      </w:r>
      <w:r>
        <w:rPr>
          <w:rStyle w:val="CharStyle12"/>
          <w:b/>
          <w:bCs/>
          <w:lang w:val="en-US" w:eastAsia="en-US"/>
        </w:rPr>
        <w:t>13.05.2026</w:t>
        <w:tab/>
      </w:r>
      <w:r>
        <w:rPr>
          <w:rStyle w:val="CharStyle12"/>
          <w:b/>
          <w:bCs/>
        </w:rPr>
        <w:t>г. Москва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Комиссия Управления Федеральной антимонопольной службы по г. Москве по контролю в сфере закупок товаров, работ, услуг (далее </w:t>
      </w:r>
      <w:r>
        <w:rPr>
          <w:rStyle w:val="CharStyle12"/>
          <w:lang w:val="en-US" w:eastAsia="en-US"/>
        </w:rPr>
        <w:t xml:space="preserve">– </w:t>
      </w:r>
      <w:r>
        <w:rPr>
          <w:rStyle w:val="CharStyle12"/>
        </w:rPr>
        <w:t>Комиссия Управления) в составе: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Председательствующего: главного государственного инспектора отдела обжалования государственных закупок А.А. Кутейникова,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Членов комиссии: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Специалиста-эксперта отдела обжалования государственных закупок А.С. Гелмутдиновой,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Специалиста-эксперта отдела обжалования государственных закупок Е.С. Переверзевой,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рассмотрение жалобы проводилось дистанционно (посредством видео</w:t>
        <w:softHyphen/>
        <w:t>конференц-связи),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при участии представителей: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ФКУ «Объединенная дирекция» Минстроя России: Ф.А. Ривякова (по дов. </w:t>
      </w:r>
      <w:r>
        <w:rPr>
          <w:rStyle w:val="CharStyle12"/>
          <w:lang w:val="en-US" w:eastAsia="en-US"/>
        </w:rPr>
        <w:t xml:space="preserve">№ </w:t>
      </w:r>
      <w:r>
        <w:rPr>
          <w:rStyle w:val="CharStyle12"/>
        </w:rPr>
        <w:t xml:space="preserve">Дов-юр-56 от </w:t>
      </w:r>
      <w:r>
        <w:rPr>
          <w:rStyle w:val="CharStyle12"/>
          <w:lang w:val="en-US" w:eastAsia="en-US"/>
        </w:rPr>
        <w:t>25.12.2025),</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отсутствие представителей ООО «КВАЗАР», о времени и порядке заседания Комиссии Управления уведомленных надлежащим образом посредством размещения сведений в Единой информационной системе (далее </w:t>
      </w:r>
      <w:r>
        <w:rPr>
          <w:rStyle w:val="CharStyle12"/>
          <w:lang w:val="en-US" w:eastAsia="en-US"/>
        </w:rPr>
        <w:t xml:space="preserve">— </w:t>
      </w:r>
      <w:r>
        <w:rPr>
          <w:rStyle w:val="CharStyle12"/>
        </w:rPr>
        <w:t xml:space="preserve">ЕИС) (ходатайство №б/н от </w:t>
      </w:r>
      <w:r>
        <w:rPr>
          <w:rStyle w:val="CharStyle12"/>
          <w:lang w:val="en-US" w:eastAsia="en-US"/>
        </w:rPr>
        <w:t>06.05.2026),</w:t>
      </w:r>
    </w:p>
    <w:p>
      <w:pPr>
        <w:pStyle w:val="Style11"/>
        <w:keepNext w:val="0"/>
        <w:keepLines w:val="0"/>
        <w:widowControl w:val="0"/>
        <w:shd w:val="clear" w:color="auto" w:fill="auto"/>
        <w:bidi w:val="0"/>
        <w:spacing w:before="0" w:after="260" w:line="240" w:lineRule="auto"/>
        <w:ind w:left="0" w:right="0" w:firstLine="700"/>
        <w:jc w:val="both"/>
      </w:pPr>
      <w:r>
        <w:rPr>
          <w:rStyle w:val="CharStyle12"/>
        </w:rPr>
        <w:t xml:space="preserve">рассмотрев жалобу ООО «КВАЗАР» (далее </w:t>
      </w:r>
      <w:r>
        <w:rPr>
          <w:rStyle w:val="CharStyle12"/>
          <w:lang w:val="en-US" w:eastAsia="en-US"/>
        </w:rPr>
        <w:t xml:space="preserve">- </w:t>
      </w:r>
      <w:r>
        <w:rPr>
          <w:rStyle w:val="CharStyle12"/>
        </w:rPr>
        <w:t xml:space="preserve">Заявитель) на действия ФКУ «Объединенная дирекция» Минстроя России (далее </w:t>
      </w:r>
      <w:r>
        <w:rPr>
          <w:rStyle w:val="CharStyle12"/>
          <w:lang w:val="en-US" w:eastAsia="en-US"/>
        </w:rPr>
        <w:t xml:space="preserve">- </w:t>
      </w:r>
      <w:r>
        <w:rPr>
          <w:rStyle w:val="CharStyle12"/>
        </w:rPr>
        <w:t xml:space="preserve">Заказчик) при проведении электронного аукциона на право заключения государственного контракта на поставку расходных материалов для офисной техники (Закупка </w:t>
      </w:r>
      <w:r>
        <w:rPr>
          <w:rStyle w:val="CharStyle12"/>
          <w:lang w:val="en-US" w:eastAsia="en-US"/>
        </w:rPr>
        <w:t xml:space="preserve">№ 0373100024326000014) </w:t>
      </w:r>
      <w:r>
        <w:rPr>
          <w:rStyle w:val="CharStyle12"/>
        </w:rPr>
        <w:t xml:space="preserve">(далее </w:t>
      </w:r>
      <w:r>
        <w:rPr>
          <w:rStyle w:val="CharStyle12"/>
          <w:lang w:val="en-US" w:eastAsia="en-US"/>
        </w:rPr>
        <w:t xml:space="preserve">— </w:t>
      </w:r>
      <w:r>
        <w:rPr>
          <w:rStyle w:val="CharStyle12"/>
        </w:rPr>
        <w:t>электронный аукцион, аукцион), в соответствии с</w:t>
      </w:r>
    </w:p>
    <w:p>
      <w:pPr>
        <w:pStyle w:val="Style14"/>
        <w:keepNext/>
        <w:keepLines/>
        <w:widowControl w:val="0"/>
        <w:shd w:val="clear" w:color="auto" w:fill="auto"/>
        <w:bidi w:val="0"/>
        <w:spacing w:before="0" w:after="0" w:line="240" w:lineRule="auto"/>
        <w:ind w:left="0" w:right="0"/>
        <w:jc w:val="left"/>
        <w:sectPr>
          <w:footnotePr>
            <w:pos w:val="pageBottom"/>
            <w:numFmt w:val="decimal"/>
            <w:numRestart w:val="continuous"/>
          </w:footnotePr>
          <w:type w:val="continuous"/>
          <w:pgSz w:w="11900" w:h="16840"/>
          <w:pgMar w:top="294" w:right="536" w:bottom="584" w:left="1106" w:header="0" w:footer="3" w:gutter="0"/>
          <w:cols w:space="720"/>
          <w:noEndnote/>
          <w:rtlGutter w:val="0"/>
          <w:docGrid w:linePitch="360"/>
        </w:sectPr>
      </w:pPr>
      <w:bookmarkStart w:id="2" w:name="bookmark2"/>
      <w:r>
        <w:rPr>
          <w:rStyle w:val="CharStyle15"/>
        </w:rPr>
        <w:t>IIIIIIIIIIIIIIIIIIIIIIIIIIII</w:t>
      </w:r>
      <w:bookmarkEnd w:id="2"/>
    </w:p>
    <w:p>
      <w:pPr>
        <w:pStyle w:val="Style11"/>
        <w:keepNext w:val="0"/>
        <w:keepLines w:val="0"/>
        <w:widowControl w:val="0"/>
        <w:shd w:val="clear" w:color="auto" w:fill="auto"/>
        <w:bidi w:val="0"/>
        <w:spacing w:before="0" w:after="260" w:line="240" w:lineRule="auto"/>
        <w:ind w:left="0" w:right="0" w:firstLine="0"/>
        <w:jc w:val="both"/>
      </w:pPr>
      <w:r>
        <w:rPr>
          <w:rStyle w:val="CharStyle12"/>
        </w:rPr>
        <w:t xml:space="preserve">Федеральным законом от </w:t>
      </w:r>
      <w:r>
        <w:rPr>
          <w:rStyle w:val="CharStyle12"/>
          <w:lang w:val="en-US" w:eastAsia="en-US"/>
        </w:rPr>
        <w:t xml:space="preserve">05.04.2013 </w:t>
      </w:r>
      <w:r>
        <w:rPr>
          <w:rStyle w:val="CharStyle12"/>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Закон о контрактной системе),</w:t>
      </w:r>
    </w:p>
    <w:p>
      <w:pPr>
        <w:pStyle w:val="Style11"/>
        <w:keepNext w:val="0"/>
        <w:keepLines w:val="0"/>
        <w:widowControl w:val="0"/>
        <w:shd w:val="clear" w:color="auto" w:fill="auto"/>
        <w:bidi w:val="0"/>
        <w:spacing w:before="0" w:after="260" w:line="240" w:lineRule="auto"/>
        <w:ind w:left="0" w:right="0" w:firstLine="0"/>
        <w:jc w:val="center"/>
      </w:pPr>
      <w:r>
        <w:rPr>
          <w:rStyle w:val="CharStyle12"/>
          <w:b/>
          <w:bCs/>
        </w:rPr>
        <w:t>УСТАНОВИЛА: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Московское УФАС России поступила жалоба Заявителя на действия Заказчика при проведении вышеуказанного аукциона.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На заседании Комиссии Управления Заказчиком представлены документы и сведения, запрашиваемые Московским УФАС России.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составе жалобы Заявитель указывает, что Заказчиком в извещении об осуществлении закупки неправомерно установлено требование о поставке исключительно оригинальных товаров, без возможности поставки эквивалентной продукции, что также влечет за собой невозможным применение защитных мер, предусмотренных положениями Постановления Правительства РФ от </w:t>
      </w:r>
      <w:r>
        <w:rPr>
          <w:rStyle w:val="CharStyle12"/>
          <w:lang w:val="en-US" w:eastAsia="en-US"/>
        </w:rPr>
        <w:t xml:space="preserve">23.12.2024 №1875 </w:t>
      </w:r>
      <w:r>
        <w:rPr>
          <w:rStyle w:val="CharStyle1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2"/>
          <w:lang w:val="en-US" w:eastAsia="en-US"/>
        </w:rPr>
        <w:t xml:space="preserve">— </w:t>
      </w:r>
      <w:r>
        <w:rPr>
          <w:rStyle w:val="CharStyle12"/>
        </w:rPr>
        <w:t xml:space="preserve">Постановление </w:t>
      </w:r>
      <w:r>
        <w:rPr>
          <w:rStyle w:val="CharStyle12"/>
          <w:lang w:val="en-US" w:eastAsia="en-US"/>
        </w:rPr>
        <w:t>№ 1875).</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 </w:t>
      </w:r>
      <w:r>
        <w:rPr>
          <w:rStyle w:val="CharStyle12"/>
          <w:lang w:val="en-US" w:eastAsia="en-US"/>
        </w:rPr>
        <w:t xml:space="preserve">33 </w:t>
      </w:r>
      <w:r>
        <w:rPr>
          <w:rStyle w:val="CharStyle12"/>
        </w:rPr>
        <w:t>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соответствии с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1"/>
        <w:keepNext w:val="0"/>
        <w:keepLines w:val="0"/>
        <w:widowControl w:val="0"/>
        <w:numPr>
          <w:ilvl w:val="0"/>
          <w:numId w:val="1"/>
        </w:numPr>
        <w:shd w:val="clear" w:color="auto" w:fill="auto"/>
        <w:tabs>
          <w:tab w:pos="1439" w:val="left"/>
        </w:tabs>
        <w:bidi w:val="0"/>
        <w:spacing w:before="0" w:after="0" w:line="240" w:lineRule="auto"/>
        <w:ind w:left="0" w:right="0" w:firstLine="700"/>
        <w:jc w:val="both"/>
      </w:pPr>
      <w:r>
        <w:rPr>
          <w:rStyle w:val="CharStyle12"/>
        </w:rPr>
        <w:t>сопровождение такого указания словами «или эквивалент»;</w:t>
      </w:r>
    </w:p>
    <w:p>
      <w:pPr>
        <w:pStyle w:val="Style11"/>
        <w:keepNext w:val="0"/>
        <w:keepLines w:val="0"/>
        <w:widowControl w:val="0"/>
        <w:numPr>
          <w:ilvl w:val="0"/>
          <w:numId w:val="1"/>
        </w:numPr>
        <w:shd w:val="clear" w:color="auto" w:fill="auto"/>
        <w:tabs>
          <w:tab w:pos="1422" w:val="left"/>
        </w:tabs>
        <w:bidi w:val="0"/>
        <w:spacing w:before="0" w:after="0" w:line="240" w:lineRule="auto"/>
        <w:ind w:left="0" w:right="0" w:firstLine="700"/>
        <w:jc w:val="both"/>
      </w:pPr>
      <w:r>
        <w:rPr>
          <w:rStyle w:val="CharStyle12"/>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1"/>
        <w:keepNext w:val="0"/>
        <w:keepLines w:val="0"/>
        <w:widowControl w:val="0"/>
        <w:numPr>
          <w:ilvl w:val="0"/>
          <w:numId w:val="1"/>
        </w:numPr>
        <w:shd w:val="clear" w:color="auto" w:fill="auto"/>
        <w:tabs>
          <w:tab w:pos="1422" w:val="left"/>
        </w:tabs>
        <w:bidi w:val="0"/>
        <w:spacing w:before="0" w:after="0" w:line="240" w:lineRule="auto"/>
        <w:ind w:left="0" w:right="0" w:firstLine="700"/>
        <w:jc w:val="both"/>
      </w:pPr>
      <w:r>
        <w:rPr>
          <w:rStyle w:val="CharStyle12"/>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1"/>
        <w:keepNext w:val="0"/>
        <w:keepLines w:val="0"/>
        <w:widowControl w:val="0"/>
        <w:numPr>
          <w:ilvl w:val="0"/>
          <w:numId w:val="1"/>
        </w:numPr>
        <w:shd w:val="clear" w:color="auto" w:fill="auto"/>
        <w:tabs>
          <w:tab w:pos="1422" w:val="left"/>
        </w:tabs>
        <w:bidi w:val="0"/>
        <w:spacing w:before="0" w:after="260" w:line="240" w:lineRule="auto"/>
        <w:ind w:left="0" w:right="0" w:firstLine="700"/>
        <w:jc w:val="both"/>
      </w:pPr>
      <w:r>
        <w:rPr>
          <w:rStyle w:val="CharStyle12"/>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w:t>
      </w:r>
    </w:p>
    <w:p>
      <w:pPr>
        <w:pStyle w:val="Style11"/>
        <w:keepNext w:val="0"/>
        <w:keepLines w:val="0"/>
        <w:widowControl w:val="0"/>
        <w:shd w:val="clear" w:color="auto" w:fill="auto"/>
        <w:bidi w:val="0"/>
        <w:spacing w:before="0" w:after="0"/>
        <w:ind w:left="0" w:right="0" w:firstLine="0"/>
        <w:jc w:val="both"/>
      </w:pPr>
      <w:r>
        <w:rPr>
          <w:rStyle w:val="CharStyle12"/>
        </w:rPr>
        <w:t>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1"/>
        <w:keepNext w:val="0"/>
        <w:keepLines w:val="0"/>
        <w:widowControl w:val="0"/>
        <w:shd w:val="clear" w:color="auto" w:fill="auto"/>
        <w:bidi w:val="0"/>
        <w:spacing w:before="0" w:after="0"/>
        <w:ind w:left="0" w:right="0" w:firstLine="700"/>
        <w:jc w:val="both"/>
      </w:pPr>
      <w:r>
        <w:rPr>
          <w:rStyle w:val="CharStyle12"/>
        </w:rPr>
        <w:t>В силу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1"/>
        <w:keepNext w:val="0"/>
        <w:keepLines w:val="0"/>
        <w:widowControl w:val="0"/>
        <w:shd w:val="clear" w:color="auto" w:fill="auto"/>
        <w:bidi w:val="0"/>
        <w:spacing w:before="0" w:after="0"/>
        <w:ind w:left="0" w:right="0" w:firstLine="700"/>
        <w:jc w:val="both"/>
      </w:pPr>
      <w:r>
        <w:rPr>
          <w:rStyle w:val="CharStyle12"/>
        </w:rPr>
        <w:t>Комиссией Управления установлено, что согласно описанию объектов закупки Заказчиком установлены следующие требования к следующим закупаемым расходным материалам:</w:t>
      </w:r>
    </w:p>
    <w:p>
      <w:pPr>
        <w:pStyle w:val="Style11"/>
        <w:keepNext w:val="0"/>
        <w:keepLines w:val="0"/>
        <w:widowControl w:val="0"/>
        <w:shd w:val="clear" w:color="auto" w:fill="auto"/>
        <w:bidi w:val="0"/>
        <w:spacing w:before="0" w:after="0"/>
        <w:ind w:left="0" w:right="0" w:firstLine="700"/>
        <w:jc w:val="both"/>
      </w:pPr>
      <w:r>
        <w:rPr>
          <w:rStyle w:val="CharStyle12"/>
        </w:rPr>
        <w:t xml:space="preserve">по п. «Картридж для электрографических печатающих устройств Идентификатор: </w:t>
      </w:r>
      <w:r>
        <w:rPr>
          <w:rStyle w:val="CharStyle12"/>
          <w:lang w:val="en-US" w:eastAsia="en-US"/>
        </w:rPr>
        <w:t xml:space="preserve">213065095». </w:t>
      </w:r>
      <w:r>
        <w:rPr>
          <w:rStyle w:val="CharStyle12"/>
        </w:rPr>
        <w:t xml:space="preserve">Код по общероссийскому классификатору продукции по видам экономической деятельности (далее </w:t>
      </w:r>
      <w:r>
        <w:rPr>
          <w:rStyle w:val="CharStyle12"/>
          <w:lang w:val="en-US" w:eastAsia="en-US"/>
        </w:rPr>
        <w:t xml:space="preserve">— </w:t>
      </w:r>
      <w:r>
        <w:rPr>
          <w:rStyle w:val="CharStyle12"/>
        </w:rPr>
        <w:t xml:space="preserve">ОКПД </w:t>
      </w:r>
      <w:r>
        <w:rPr>
          <w:rStyle w:val="CharStyle12"/>
          <w:lang w:val="en-US" w:eastAsia="en-US"/>
        </w:rPr>
        <w:t xml:space="preserve">2): 26.20.40.120 </w:t>
      </w:r>
      <w:r>
        <w:rPr>
          <w:rStyle w:val="CharStyle12"/>
        </w:rPr>
        <w:t xml:space="preserve">«Картридж для электрографических печатающих устройств»: «Тип картриджа: Тонер-картридж </w:t>
      </w:r>
      <w:r>
        <w:rPr>
          <w:rStyle w:val="CharStyle12"/>
          <w:lang w:val="en-US" w:eastAsia="en-US"/>
        </w:rPr>
        <w:t xml:space="preserve">P300T6KK-W </w:t>
      </w:r>
      <w:r>
        <w:rPr>
          <w:rStyle w:val="CharStyle12"/>
        </w:rPr>
        <w:t xml:space="preserve">(оригинальный) для МФУ </w:t>
      </w:r>
      <w:r>
        <w:rPr>
          <w:rStyle w:val="CharStyle12"/>
          <w:lang w:val="en-US" w:eastAsia="en-US"/>
        </w:rPr>
        <w:t xml:space="preserve">«Sindoh» C300; </w:t>
      </w:r>
      <w:r>
        <w:rPr>
          <w:rStyle w:val="CharStyle12"/>
        </w:rPr>
        <w:t xml:space="preserve">товарный знак: </w:t>
      </w:r>
      <w:r>
        <w:rPr>
          <w:rStyle w:val="CharStyle12"/>
          <w:lang w:val="en-US" w:eastAsia="en-US"/>
        </w:rPr>
        <w:t>Sindoh;</w:t>
      </w:r>
    </w:p>
    <w:p>
      <w:pPr>
        <w:pStyle w:val="Style11"/>
        <w:keepNext w:val="0"/>
        <w:keepLines w:val="0"/>
        <w:widowControl w:val="0"/>
        <w:shd w:val="clear" w:color="auto" w:fill="auto"/>
        <w:bidi w:val="0"/>
        <w:spacing w:before="0" w:after="0"/>
        <w:ind w:left="0" w:right="0" w:firstLine="700"/>
        <w:jc w:val="both"/>
      </w:pPr>
      <w:r>
        <w:rPr>
          <w:rStyle w:val="CharStyle12"/>
        </w:rPr>
        <w:t xml:space="preserve">по п. «Картридж для электрографических печатающих устройств Идентификатор: </w:t>
      </w:r>
      <w:r>
        <w:rPr>
          <w:rStyle w:val="CharStyle12"/>
          <w:lang w:val="en-US" w:eastAsia="en-US"/>
        </w:rPr>
        <w:t xml:space="preserve">213065096». </w:t>
      </w:r>
      <w:r>
        <w:rPr>
          <w:rStyle w:val="CharStyle12"/>
        </w:rPr>
        <w:t xml:space="preserve">Код по общероссийскому классификатору продукции по видам экономической деятельности (далее </w:t>
      </w:r>
      <w:r>
        <w:rPr>
          <w:rStyle w:val="CharStyle12"/>
          <w:lang w:val="en-US" w:eastAsia="en-US"/>
        </w:rPr>
        <w:t xml:space="preserve">— </w:t>
      </w:r>
      <w:r>
        <w:rPr>
          <w:rStyle w:val="CharStyle12"/>
        </w:rPr>
        <w:t xml:space="preserve">ОКПД </w:t>
      </w:r>
      <w:r>
        <w:rPr>
          <w:rStyle w:val="CharStyle12"/>
          <w:lang w:val="en-US" w:eastAsia="en-US"/>
        </w:rPr>
        <w:t xml:space="preserve">2): 26.20.40.120 </w:t>
      </w:r>
      <w:r>
        <w:rPr>
          <w:rStyle w:val="CharStyle12"/>
        </w:rPr>
        <w:t xml:space="preserve">«Картридж для электрографических печатающих устройств»: «Тип картриджа: Тонер-картридж </w:t>
      </w:r>
      <w:r>
        <w:rPr>
          <w:rStyle w:val="CharStyle12"/>
          <w:lang w:val="en-US" w:eastAsia="en-US"/>
        </w:rPr>
        <w:t xml:space="preserve">P300T6KС-W </w:t>
      </w:r>
      <w:r>
        <w:rPr>
          <w:rStyle w:val="CharStyle12"/>
        </w:rPr>
        <w:t xml:space="preserve">(оригинальный) для МФУ </w:t>
      </w:r>
      <w:r>
        <w:rPr>
          <w:rStyle w:val="CharStyle12"/>
          <w:lang w:val="en-US" w:eastAsia="en-US"/>
        </w:rPr>
        <w:t xml:space="preserve">«Sindoh» C300»; </w:t>
      </w:r>
      <w:r>
        <w:rPr>
          <w:rStyle w:val="CharStyle12"/>
        </w:rPr>
        <w:t xml:space="preserve">товарный знак: </w:t>
      </w:r>
      <w:r>
        <w:rPr>
          <w:rStyle w:val="CharStyle12"/>
          <w:lang w:val="en-US" w:eastAsia="en-US"/>
        </w:rPr>
        <w:t>Sindoh;</w:t>
      </w:r>
    </w:p>
    <w:p>
      <w:pPr>
        <w:pStyle w:val="Style11"/>
        <w:keepNext w:val="0"/>
        <w:keepLines w:val="0"/>
        <w:widowControl w:val="0"/>
        <w:shd w:val="clear" w:color="auto" w:fill="auto"/>
        <w:bidi w:val="0"/>
        <w:spacing w:before="0" w:after="0"/>
        <w:ind w:left="0" w:right="0" w:firstLine="700"/>
        <w:jc w:val="both"/>
      </w:pPr>
      <w:r>
        <w:rPr>
          <w:rStyle w:val="CharStyle12"/>
        </w:rPr>
        <w:t xml:space="preserve">по п. «Картридж для электрографических печатающих устройств Идентификатор: </w:t>
      </w:r>
      <w:r>
        <w:rPr>
          <w:rStyle w:val="CharStyle12"/>
          <w:lang w:val="en-US" w:eastAsia="en-US"/>
        </w:rPr>
        <w:t xml:space="preserve">213065363». </w:t>
      </w:r>
      <w:r>
        <w:rPr>
          <w:rStyle w:val="CharStyle12"/>
        </w:rPr>
        <w:t xml:space="preserve">Код по общероссийскому классификатору продукции по видам экономической деятельности (далее </w:t>
      </w:r>
      <w:r>
        <w:rPr>
          <w:rStyle w:val="CharStyle12"/>
          <w:lang w:val="en-US" w:eastAsia="en-US"/>
        </w:rPr>
        <w:t xml:space="preserve">— </w:t>
      </w:r>
      <w:r>
        <w:rPr>
          <w:rStyle w:val="CharStyle12"/>
        </w:rPr>
        <w:t xml:space="preserve">ОКПД </w:t>
      </w:r>
      <w:r>
        <w:rPr>
          <w:rStyle w:val="CharStyle12"/>
          <w:lang w:val="en-US" w:eastAsia="en-US"/>
        </w:rPr>
        <w:t xml:space="preserve">2): 26.20.40.120 </w:t>
      </w:r>
      <w:r>
        <w:rPr>
          <w:rStyle w:val="CharStyle12"/>
        </w:rPr>
        <w:t xml:space="preserve">«Картридж для электрографических печатающих устройств»: «Тип картриджа: Тонер-картридж </w:t>
      </w:r>
      <w:r>
        <w:rPr>
          <w:rStyle w:val="CharStyle12"/>
          <w:lang w:val="en-US" w:eastAsia="en-US"/>
        </w:rPr>
        <w:t xml:space="preserve">P300T6KМ-W </w:t>
      </w:r>
      <w:r>
        <w:rPr>
          <w:rStyle w:val="CharStyle12"/>
        </w:rPr>
        <w:t xml:space="preserve">(оригинальный) для МФУ </w:t>
      </w:r>
      <w:r>
        <w:rPr>
          <w:rStyle w:val="CharStyle12"/>
          <w:lang w:val="en-US" w:eastAsia="en-US"/>
        </w:rPr>
        <w:t xml:space="preserve">«Sindoh» C300»; </w:t>
      </w:r>
      <w:r>
        <w:rPr>
          <w:rStyle w:val="CharStyle12"/>
        </w:rPr>
        <w:t xml:space="preserve">товарный знак: </w:t>
      </w:r>
      <w:r>
        <w:rPr>
          <w:rStyle w:val="CharStyle12"/>
          <w:lang w:val="en-US" w:eastAsia="en-US"/>
        </w:rPr>
        <w:t>Sindoh;</w:t>
      </w:r>
    </w:p>
    <w:p>
      <w:pPr>
        <w:pStyle w:val="Style11"/>
        <w:keepNext w:val="0"/>
        <w:keepLines w:val="0"/>
        <w:widowControl w:val="0"/>
        <w:shd w:val="clear" w:color="auto" w:fill="auto"/>
        <w:bidi w:val="0"/>
        <w:spacing w:before="0" w:after="0"/>
        <w:ind w:left="0" w:right="0" w:firstLine="700"/>
        <w:jc w:val="both"/>
      </w:pPr>
      <w:r>
        <w:rPr>
          <w:rStyle w:val="CharStyle12"/>
        </w:rPr>
        <w:t xml:space="preserve">по п. «Картридж для электрографических печатающих устройств Идентификатор: </w:t>
      </w:r>
      <w:r>
        <w:rPr>
          <w:rStyle w:val="CharStyle12"/>
          <w:lang w:val="en-US" w:eastAsia="en-US"/>
        </w:rPr>
        <w:t xml:space="preserve">213065584». </w:t>
      </w:r>
      <w:r>
        <w:rPr>
          <w:rStyle w:val="CharStyle12"/>
        </w:rPr>
        <w:t xml:space="preserve">Код по общероссийскому классификатору продукции по видам экономической деятельности (далее </w:t>
      </w:r>
      <w:r>
        <w:rPr>
          <w:rStyle w:val="CharStyle12"/>
          <w:lang w:val="en-US" w:eastAsia="en-US"/>
        </w:rPr>
        <w:t xml:space="preserve">— </w:t>
      </w:r>
      <w:r>
        <w:rPr>
          <w:rStyle w:val="CharStyle12"/>
        </w:rPr>
        <w:t xml:space="preserve">ОКПД </w:t>
      </w:r>
      <w:r>
        <w:rPr>
          <w:rStyle w:val="CharStyle12"/>
          <w:lang w:val="en-US" w:eastAsia="en-US"/>
        </w:rPr>
        <w:t xml:space="preserve">2): 26.20.40.120 </w:t>
      </w:r>
      <w:r>
        <w:rPr>
          <w:rStyle w:val="CharStyle12"/>
        </w:rPr>
        <w:t xml:space="preserve">«Картридж для электрографических печатающих устройств»: «Тип картриджа: Тонер-картридж </w:t>
      </w:r>
      <w:r>
        <w:rPr>
          <w:rStyle w:val="CharStyle12"/>
          <w:lang w:val="en-US" w:eastAsia="en-US"/>
        </w:rPr>
        <w:t xml:space="preserve">P300T6KY-W </w:t>
      </w:r>
      <w:r>
        <w:rPr>
          <w:rStyle w:val="CharStyle12"/>
        </w:rPr>
        <w:t xml:space="preserve">(оригинальный) для МФУ </w:t>
      </w:r>
      <w:r>
        <w:rPr>
          <w:rStyle w:val="CharStyle12"/>
          <w:lang w:val="en-US" w:eastAsia="en-US"/>
        </w:rPr>
        <w:t xml:space="preserve">«Sindoh» C300»; </w:t>
      </w:r>
      <w:r>
        <w:rPr>
          <w:rStyle w:val="CharStyle12"/>
        </w:rPr>
        <w:t xml:space="preserve">товарный знак: </w:t>
      </w:r>
      <w:r>
        <w:rPr>
          <w:rStyle w:val="CharStyle12"/>
          <w:lang w:val="en-US" w:eastAsia="en-US"/>
        </w:rPr>
        <w:t>Sindoh.</w:t>
      </w:r>
    </w:p>
    <w:p>
      <w:pPr>
        <w:pStyle w:val="Style11"/>
        <w:keepNext w:val="0"/>
        <w:keepLines w:val="0"/>
        <w:widowControl w:val="0"/>
        <w:shd w:val="clear" w:color="auto" w:fill="auto"/>
        <w:bidi w:val="0"/>
        <w:spacing w:before="0" w:after="0"/>
        <w:ind w:left="0" w:right="0" w:firstLine="700"/>
        <w:jc w:val="both"/>
      </w:pPr>
      <w:r>
        <w:rPr>
          <w:rStyle w:val="CharStyle12"/>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12"/>
          <w:lang w:val="en-US" w:eastAsia="en-US"/>
        </w:rPr>
        <w:t xml:space="preserve">- </w:t>
      </w:r>
      <w:r>
        <w:rPr>
          <w:rStyle w:val="CharStyle12"/>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12"/>
          <w:lang w:val="en-US" w:eastAsia="en-US"/>
        </w:rPr>
        <w:t xml:space="preserve">- </w:t>
      </w:r>
      <w:r>
        <w:rPr>
          <w:rStyle w:val="CharStyle12"/>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2"/>
          <w:lang w:val="en-US" w:eastAsia="en-US"/>
        </w:rPr>
        <w:t xml:space="preserve">- </w:t>
      </w:r>
      <w:r>
        <w:rPr>
          <w:rStyle w:val="CharStyle12"/>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w:t>
      </w:r>
    </w:p>
    <w:p>
      <w:pPr>
        <w:pStyle w:val="Style11"/>
        <w:keepNext w:val="0"/>
        <w:keepLines w:val="0"/>
        <w:widowControl w:val="0"/>
        <w:shd w:val="clear" w:color="auto" w:fill="auto"/>
        <w:bidi w:val="0"/>
        <w:spacing w:before="0" w:after="0"/>
        <w:ind w:left="0" w:right="0" w:firstLine="0"/>
        <w:jc w:val="both"/>
      </w:pPr>
      <w:r>
        <w:rPr>
          <w:rStyle w:val="CharStyle12"/>
        </w:rPr>
        <w:t>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1"/>
        <w:keepNext w:val="0"/>
        <w:keepLines w:val="0"/>
        <w:widowControl w:val="0"/>
        <w:shd w:val="clear" w:color="auto" w:fill="auto"/>
        <w:bidi w:val="0"/>
        <w:spacing w:before="0" w:after="0"/>
        <w:ind w:left="0" w:right="0" w:firstLine="700"/>
        <w:jc w:val="both"/>
      </w:pPr>
      <w:r>
        <w:rPr>
          <w:rStyle w:val="CharStyle12"/>
        </w:rPr>
        <w:t>П.1 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11"/>
        <w:keepNext w:val="0"/>
        <w:keepLines w:val="0"/>
        <w:widowControl w:val="0"/>
        <w:numPr>
          <w:ilvl w:val="0"/>
          <w:numId w:val="3"/>
        </w:numPr>
        <w:shd w:val="clear" w:color="auto" w:fill="auto"/>
        <w:tabs>
          <w:tab w:pos="1423" w:val="left"/>
        </w:tabs>
        <w:bidi w:val="0"/>
        <w:spacing w:before="0" w:after="0"/>
        <w:ind w:left="0" w:right="0" w:firstLine="700"/>
        <w:jc w:val="both"/>
      </w:pPr>
      <w:r>
        <w:rPr>
          <w:rStyle w:val="CharStyle12"/>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3"/>
        </w:numPr>
        <w:shd w:val="clear" w:color="auto" w:fill="auto"/>
        <w:tabs>
          <w:tab w:pos="1423" w:val="left"/>
        </w:tabs>
        <w:bidi w:val="0"/>
        <w:spacing w:before="0" w:after="0"/>
        <w:ind w:left="0" w:right="0" w:firstLine="700"/>
        <w:jc w:val="both"/>
      </w:pPr>
      <w:r>
        <w:rPr>
          <w:rStyle w:val="CharStyle12"/>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3"/>
        </w:numPr>
        <w:shd w:val="clear" w:color="auto" w:fill="auto"/>
        <w:tabs>
          <w:tab w:pos="1423" w:val="left"/>
        </w:tabs>
        <w:bidi w:val="0"/>
        <w:spacing w:before="0" w:after="0"/>
        <w:ind w:left="0" w:right="0" w:firstLine="700"/>
        <w:jc w:val="both"/>
      </w:pPr>
      <w:r>
        <w:rPr>
          <w:rStyle w:val="CharStyle12"/>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1"/>
        <w:keepNext w:val="0"/>
        <w:keepLines w:val="0"/>
        <w:widowControl w:val="0"/>
        <w:shd w:val="clear" w:color="auto" w:fill="auto"/>
        <w:bidi w:val="0"/>
        <w:spacing w:before="0" w:after="0"/>
        <w:ind w:left="0" w:right="0" w:firstLine="700"/>
        <w:jc w:val="both"/>
      </w:pPr>
      <w:r>
        <w:rPr>
          <w:rStyle w:val="CharStyle12"/>
        </w:rPr>
        <w:t xml:space="preserve">П.1 Постановления </w:t>
      </w:r>
      <w:r>
        <w:rPr>
          <w:rStyle w:val="CharStyle12"/>
          <w:lang w:val="en-US" w:eastAsia="en-US"/>
        </w:rPr>
        <w:t xml:space="preserve">№1875 </w:t>
      </w:r>
      <w:r>
        <w:rPr>
          <w:rStyle w:val="CharStyle12"/>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11"/>
        <w:keepNext w:val="0"/>
        <w:keepLines w:val="0"/>
        <w:widowControl w:val="0"/>
        <w:numPr>
          <w:ilvl w:val="0"/>
          <w:numId w:val="5"/>
        </w:numPr>
        <w:shd w:val="clear" w:color="auto" w:fill="auto"/>
        <w:tabs>
          <w:tab w:pos="1423" w:val="left"/>
        </w:tabs>
        <w:bidi w:val="0"/>
        <w:spacing w:before="0" w:after="0"/>
        <w:ind w:left="0" w:right="0" w:firstLine="700"/>
        <w:jc w:val="both"/>
      </w:pPr>
      <w:r>
        <w:rPr>
          <w:rStyle w:val="CharStyle12"/>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2"/>
          <w:lang w:val="en-US" w:eastAsia="en-US"/>
        </w:rPr>
        <w:t xml:space="preserve">- </w:t>
      </w:r>
      <w:r>
        <w:rPr>
          <w:rStyle w:val="CharStyle12"/>
        </w:rPr>
        <w:t xml:space="preserve">иностранные лица), по перечню согласно приложению </w:t>
      </w:r>
      <w:r>
        <w:rPr>
          <w:rStyle w:val="CharStyle12"/>
          <w:lang w:val="en-US" w:eastAsia="en-US"/>
        </w:rPr>
        <w:t xml:space="preserve">№1, </w:t>
      </w:r>
      <w:r>
        <w:rPr>
          <w:rStyle w:val="CharStyle12"/>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5"/>
        </w:numPr>
        <w:shd w:val="clear" w:color="auto" w:fill="auto"/>
        <w:tabs>
          <w:tab w:pos="1423" w:val="left"/>
        </w:tabs>
        <w:bidi w:val="0"/>
        <w:spacing w:before="0" w:after="0"/>
        <w:ind w:left="0" w:right="0" w:firstLine="700"/>
        <w:jc w:val="both"/>
      </w:pPr>
      <w:r>
        <w:rPr>
          <w:rStyle w:val="CharStyle12"/>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2"/>
          <w:lang w:val="en-US" w:eastAsia="en-US"/>
        </w:rPr>
        <w:t>№2;</w:t>
      </w:r>
    </w:p>
    <w:p>
      <w:pPr>
        <w:pStyle w:val="Style11"/>
        <w:keepNext w:val="0"/>
        <w:keepLines w:val="0"/>
        <w:widowControl w:val="0"/>
        <w:numPr>
          <w:ilvl w:val="0"/>
          <w:numId w:val="5"/>
        </w:numPr>
        <w:shd w:val="clear" w:color="auto" w:fill="auto"/>
        <w:tabs>
          <w:tab w:pos="1423" w:val="left"/>
        </w:tabs>
        <w:bidi w:val="0"/>
        <w:spacing w:before="0" w:after="0"/>
        <w:ind w:left="0" w:right="0" w:firstLine="700"/>
        <w:jc w:val="both"/>
        <w:sectPr>
          <w:headerReference w:type="default" r:id="rId8"/>
          <w:footerReference w:type="default" r:id="rId9"/>
          <w:footnotePr>
            <w:pos w:val="pageBottom"/>
            <w:numFmt w:val="decimal"/>
            <w:numRestart w:val="continuous"/>
          </w:footnotePr>
          <w:pgSz w:w="11900" w:h="16840"/>
          <w:pgMar w:top="1162" w:right="545" w:bottom="1085" w:left="1102" w:header="0" w:footer="3" w:gutter="0"/>
          <w:cols w:space="720"/>
          <w:noEndnote/>
          <w:rtlGutter w:val="0"/>
          <w:docGrid w:linePitch="360"/>
        </w:sectPr>
      </w:pPr>
      <w:r>
        <w:rPr>
          <w:rStyle w:val="CharStyle12"/>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11"/>
        <w:keepNext w:val="0"/>
        <w:keepLines w:val="0"/>
        <w:widowControl w:val="0"/>
        <w:shd w:val="clear" w:color="auto" w:fill="auto"/>
        <w:bidi w:val="0"/>
        <w:spacing w:before="0" w:after="0"/>
        <w:ind w:left="0" w:right="0" w:firstLine="700"/>
        <w:jc w:val="both"/>
      </w:pPr>
      <w:r>
        <w:rPr>
          <w:rStyle w:val="CharStyle12"/>
        </w:rPr>
        <w:t xml:space="preserve">Пп.«б» п.6 Постановления </w:t>
      </w:r>
      <w:r>
        <w:rPr>
          <w:rStyle w:val="CharStyle12"/>
          <w:lang w:val="en-US" w:eastAsia="en-US"/>
        </w:rPr>
        <w:t xml:space="preserve">№1875 </w:t>
      </w:r>
      <w:r>
        <w:rPr>
          <w:rStyle w:val="CharStyle12"/>
        </w:rPr>
        <w:t xml:space="preserve">определено, что ограничение, предусмотренное п.1 Постановления </w:t>
      </w:r>
      <w:r>
        <w:rPr>
          <w:rStyle w:val="CharStyle12"/>
          <w:lang w:val="en-US" w:eastAsia="en-US"/>
        </w:rPr>
        <w:t xml:space="preserve">№1875, </w:t>
      </w:r>
      <w:r>
        <w:rPr>
          <w:rStyle w:val="CharStyle12"/>
        </w:rPr>
        <w:t xml:space="preserve">может не применяться заказчиками при осуществлении закупок товара из числа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Положения пп.«б» п.6 Постановления </w:t>
      </w:r>
      <w:r>
        <w:rPr>
          <w:rStyle w:val="CharStyle12"/>
          <w:lang w:val="en-US" w:eastAsia="en-US"/>
        </w:rPr>
        <w:t xml:space="preserve">№1875 </w:t>
      </w:r>
      <w:r>
        <w:rPr>
          <w:rStyle w:val="CharStyle12"/>
        </w:rPr>
        <w:t xml:space="preserve">не применяются при осуществлении закупок товаров, указанных в приложении </w:t>
      </w:r>
      <w:r>
        <w:rPr>
          <w:rStyle w:val="CharStyle12"/>
          <w:lang w:val="en-US" w:eastAsia="en-US"/>
        </w:rPr>
        <w:t xml:space="preserve">№2 </w:t>
      </w:r>
      <w:r>
        <w:rPr>
          <w:rStyle w:val="CharStyle12"/>
        </w:rPr>
        <w:t xml:space="preserve">к Постановлению </w:t>
      </w:r>
      <w:r>
        <w:rPr>
          <w:rStyle w:val="CharStyle12"/>
          <w:lang w:val="en-US" w:eastAsia="en-US"/>
        </w:rPr>
        <w:t xml:space="preserve">№1875 </w:t>
      </w:r>
      <w:r>
        <w:rPr>
          <w:rStyle w:val="CharStyle12"/>
        </w:rPr>
        <w:t>и являющихся расходными материалами, комплектующими, принадлежностями к медицинским изделиям.</w:t>
      </w:r>
    </w:p>
    <w:p>
      <w:pPr>
        <w:pStyle w:val="Style11"/>
        <w:keepNext w:val="0"/>
        <w:keepLines w:val="0"/>
        <w:widowControl w:val="0"/>
        <w:shd w:val="clear" w:color="auto" w:fill="auto"/>
        <w:bidi w:val="0"/>
        <w:spacing w:before="0" w:after="0"/>
        <w:ind w:left="0" w:right="0" w:firstLine="700"/>
        <w:jc w:val="both"/>
      </w:pPr>
      <w:r>
        <w:rPr>
          <w:rStyle w:val="CharStyle12"/>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1"/>
        <w:keepNext w:val="0"/>
        <w:keepLines w:val="0"/>
        <w:widowControl w:val="0"/>
        <w:shd w:val="clear" w:color="auto" w:fill="auto"/>
        <w:bidi w:val="0"/>
        <w:spacing w:before="0" w:after="0"/>
        <w:ind w:left="0" w:right="0" w:firstLine="700"/>
        <w:jc w:val="both"/>
      </w:pPr>
      <w:r>
        <w:rPr>
          <w:rStyle w:val="CharStyle12"/>
        </w:rPr>
        <w:t xml:space="preserve">Комиссией Управления определено, что в извещении об осуществлении закупки Заказчиком установлено ограничение, предусмотренное Постановлением </w:t>
      </w:r>
      <w:r>
        <w:rPr>
          <w:rStyle w:val="CharStyle12"/>
          <w:lang w:val="en-US" w:eastAsia="en-US"/>
        </w:rPr>
        <w:t xml:space="preserve">№1875, </w:t>
      </w:r>
      <w:r>
        <w:rPr>
          <w:rStyle w:val="CharStyle12"/>
        </w:rPr>
        <w:t xml:space="preserve">а также указано обоснование невозможности соблюдения ограничения: «Ограничение не применяется на основании подпункта «б» пункта </w:t>
      </w:r>
      <w:r>
        <w:rPr>
          <w:rStyle w:val="CharStyle12"/>
          <w:lang w:val="en-US" w:eastAsia="en-US"/>
        </w:rPr>
        <w:t xml:space="preserve">6 </w:t>
      </w:r>
      <w:r>
        <w:rPr>
          <w:rStyle w:val="CharStyle12"/>
        </w:rPr>
        <w:t xml:space="preserve">Постановления Правительства РФ от </w:t>
      </w:r>
      <w:r>
        <w:rPr>
          <w:rStyle w:val="CharStyle12"/>
          <w:lang w:val="en-US" w:eastAsia="en-US"/>
        </w:rPr>
        <w:t xml:space="preserve">23.12.2024 № 1875: </w:t>
      </w:r>
      <w:r>
        <w:rPr>
          <w:rStyle w:val="CharStyle12"/>
        </w:rPr>
        <w:t>осуществляется закупка товаров из числа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1"/>
        <w:keepNext w:val="0"/>
        <w:keepLines w:val="0"/>
        <w:widowControl w:val="0"/>
        <w:shd w:val="clear" w:color="auto" w:fill="auto"/>
        <w:bidi w:val="0"/>
        <w:spacing w:before="0" w:after="0"/>
        <w:ind w:left="0" w:right="0" w:firstLine="700"/>
        <w:jc w:val="both"/>
      </w:pPr>
      <w:r>
        <w:rPr>
          <w:rStyle w:val="CharStyle12"/>
        </w:rPr>
        <w:t>Комиссия Управления отмечает, что ст.33 Закона о контрактной системе содержит в себе закрытый перечень случаев, когда Заказчик в праве закупать товары конкретного производителя, во всех остальных случаях, совокупности всех требований извещения, в том числе и всем требованиям описания объекта закупки, должны соответствовать товары как минимум двух различных производителей.</w:t>
      </w:r>
    </w:p>
    <w:p>
      <w:pPr>
        <w:pStyle w:val="Style11"/>
        <w:keepNext w:val="0"/>
        <w:keepLines w:val="0"/>
        <w:widowControl w:val="0"/>
        <w:shd w:val="clear" w:color="auto" w:fill="auto"/>
        <w:bidi w:val="0"/>
        <w:spacing w:before="0" w:after="0"/>
        <w:ind w:left="0" w:right="0" w:firstLine="700"/>
        <w:jc w:val="both"/>
      </w:pPr>
      <w:r>
        <w:rPr>
          <w:rStyle w:val="CharStyle12"/>
        </w:rPr>
        <w:t>При этом обязанность по формированию описания объекта закупки в соответствии с положениями ст.33 Закона о контрактной системе возложена на Заказчика, следовательно, именно Заказчик при формировании извещения об осуществлении закупочной процедуры должен обладать документальным подтверждением соответствие описания объекта закупки требованиям действующего законодательства.</w:t>
      </w:r>
    </w:p>
    <w:p>
      <w:pPr>
        <w:pStyle w:val="Style11"/>
        <w:keepNext w:val="0"/>
        <w:keepLines w:val="0"/>
        <w:widowControl w:val="0"/>
        <w:shd w:val="clear" w:color="auto" w:fill="auto"/>
        <w:bidi w:val="0"/>
        <w:spacing w:before="0" w:after="0" w:line="290" w:lineRule="auto"/>
        <w:ind w:left="0" w:right="0" w:firstLine="700"/>
        <w:jc w:val="both"/>
        <w:rPr>
          <w:sz w:val="24"/>
          <w:szCs w:val="24"/>
        </w:rPr>
        <w:sectPr>
          <w:headerReference w:type="default" r:id="rId10"/>
          <w:footerReference w:type="default" r:id="rId11"/>
          <w:footnotePr>
            <w:pos w:val="pageBottom"/>
            <w:numFmt w:val="decimal"/>
            <w:numRestart w:val="continuous"/>
          </w:footnotePr>
          <w:pgSz w:w="11900" w:h="16840"/>
          <w:pgMar w:top="1162" w:right="546" w:bottom="658" w:left="1106" w:header="0" w:footer="230" w:gutter="0"/>
          <w:cols w:space="720"/>
          <w:noEndnote/>
          <w:rtlGutter w:val="0"/>
          <w:docGrid w:linePitch="360"/>
        </w:sectPr>
      </w:pPr>
      <w:r>
        <w:rPr>
          <w:rStyle w:val="CharStyle12"/>
        </w:rPr>
        <w:t xml:space="preserve">Согласно ч.1 ст.106 Закона о контрактной системе лица, права и законные интересы которых непосредственно затрагиваются в результате рассмотрения </w:t>
      </w:r>
      <w:r>
        <w:rPr>
          <w:rStyle w:val="CharStyle12"/>
          <w:sz w:val="24"/>
          <w:szCs w:val="24"/>
          <w:lang w:val="en-US" w:eastAsia="en-US"/>
        </w:rPr>
        <w:t>2026-24266</w:t>
      </w:r>
    </w:p>
    <w:p>
      <w:pPr>
        <w:pStyle w:val="Style11"/>
        <w:keepNext w:val="0"/>
        <w:keepLines w:val="0"/>
        <w:widowControl w:val="0"/>
        <w:shd w:val="clear" w:color="auto" w:fill="auto"/>
        <w:bidi w:val="0"/>
        <w:spacing w:before="0" w:after="0"/>
        <w:ind w:left="0" w:right="0" w:firstLine="0"/>
        <w:jc w:val="both"/>
      </w:pPr>
      <w:r>
        <w:rPr>
          <w:rStyle w:val="CharStyle12"/>
        </w:rPr>
        <w:t>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1"/>
        <w:keepNext w:val="0"/>
        <w:keepLines w:val="0"/>
        <w:widowControl w:val="0"/>
        <w:shd w:val="clear" w:color="auto" w:fill="auto"/>
        <w:bidi w:val="0"/>
        <w:spacing w:before="0" w:after="0"/>
        <w:ind w:left="0" w:right="0" w:firstLine="740"/>
        <w:jc w:val="both"/>
      </w:pPr>
      <w:r>
        <w:rPr>
          <w:rStyle w:val="CharStyle12"/>
        </w:rPr>
        <w:t xml:space="preserve">На заседании Комиссии Управления представитель Заказчика пояснил, что Заказчик производит закупку оригинальных картриджей для МФУ </w:t>
      </w:r>
      <w:r>
        <w:rPr>
          <w:rStyle w:val="CharStyle12"/>
          <w:lang w:val="en-US" w:eastAsia="en-US"/>
        </w:rPr>
        <w:t xml:space="preserve">«Sindoh» C300, </w:t>
      </w:r>
      <w:r>
        <w:rPr>
          <w:rStyle w:val="CharStyle12"/>
        </w:rPr>
        <w:t>данное оборудование находится на гарантийном обслуживании.</w:t>
      </w:r>
    </w:p>
    <w:p>
      <w:pPr>
        <w:pStyle w:val="Style11"/>
        <w:keepNext w:val="0"/>
        <w:keepLines w:val="0"/>
        <w:widowControl w:val="0"/>
        <w:shd w:val="clear" w:color="auto" w:fill="auto"/>
        <w:bidi w:val="0"/>
        <w:spacing w:before="0" w:after="0"/>
        <w:ind w:left="0" w:right="0" w:firstLine="740"/>
        <w:jc w:val="both"/>
      </w:pPr>
      <w:r>
        <w:rPr>
          <w:rStyle w:val="CharStyle12"/>
        </w:rPr>
        <w:t xml:space="preserve">Также представитель Заказчика пояснил, что в соответствии с руководством пользователя </w:t>
      </w:r>
      <w:r>
        <w:rPr>
          <w:rStyle w:val="CharStyle12"/>
          <w:lang w:val="en-US" w:eastAsia="en-US"/>
        </w:rPr>
        <w:t xml:space="preserve">«Sindoh» C300 </w:t>
      </w:r>
      <w:r>
        <w:rPr>
          <w:rStyle w:val="CharStyle12"/>
        </w:rPr>
        <w:t xml:space="preserve">МФУ сконструирован таким образом, чтобы наилучшим образом использовать оригинальные компоненты и расходные материалы </w:t>
      </w:r>
      <w:r>
        <w:rPr>
          <w:rStyle w:val="CharStyle12"/>
          <w:lang w:val="en-US" w:eastAsia="en-US"/>
        </w:rPr>
        <w:t>Sindoh.</w:t>
      </w:r>
    </w:p>
    <w:p>
      <w:pPr>
        <w:pStyle w:val="Style11"/>
        <w:keepNext w:val="0"/>
        <w:keepLines w:val="0"/>
        <w:widowControl w:val="0"/>
        <w:shd w:val="clear" w:color="auto" w:fill="auto"/>
        <w:bidi w:val="0"/>
        <w:spacing w:before="0" w:after="0"/>
        <w:ind w:left="0" w:right="0" w:firstLine="740"/>
        <w:jc w:val="both"/>
      </w:pPr>
      <w:r>
        <w:rPr>
          <w:rStyle w:val="CharStyle12"/>
        </w:rPr>
        <w:t>В обоснование своей позиции представитель Заказчика представил:</w:t>
      </w:r>
    </w:p>
    <w:p>
      <w:pPr>
        <w:pStyle w:val="Style11"/>
        <w:keepNext w:val="0"/>
        <w:keepLines w:val="0"/>
        <w:widowControl w:val="0"/>
        <w:numPr>
          <w:ilvl w:val="0"/>
          <w:numId w:val="7"/>
        </w:numPr>
        <w:shd w:val="clear" w:color="auto" w:fill="auto"/>
        <w:tabs>
          <w:tab w:pos="955" w:val="left"/>
        </w:tabs>
        <w:bidi w:val="0"/>
        <w:spacing w:before="0" w:after="0"/>
        <w:ind w:left="0" w:right="0" w:firstLine="740"/>
        <w:jc w:val="both"/>
      </w:pPr>
      <w:r>
        <w:rPr>
          <w:rStyle w:val="CharStyle12"/>
        </w:rPr>
        <w:t xml:space="preserve">гарантийные талоны на оборудование </w:t>
      </w:r>
      <w:r>
        <w:rPr>
          <w:rStyle w:val="CharStyle12"/>
          <w:lang w:val="en-US" w:eastAsia="en-US"/>
        </w:rPr>
        <w:t xml:space="preserve">«Sindoh» C300 </w:t>
      </w:r>
      <w:r>
        <w:rPr>
          <w:rStyle w:val="CharStyle12"/>
        </w:rPr>
        <w:t xml:space="preserve">МФУ, например, гарантийный талон </w:t>
      </w:r>
      <w:r>
        <w:rPr>
          <w:rStyle w:val="CharStyle12"/>
          <w:lang w:val="en-US" w:eastAsia="en-US"/>
        </w:rPr>
        <w:t xml:space="preserve">№ 140426-4 </w:t>
      </w:r>
      <w:r>
        <w:rPr>
          <w:rStyle w:val="CharStyle12"/>
        </w:rPr>
        <w:t xml:space="preserve">от от </w:t>
      </w:r>
      <w:r>
        <w:rPr>
          <w:rStyle w:val="CharStyle12"/>
          <w:lang w:val="en-US" w:eastAsia="en-US"/>
        </w:rPr>
        <w:t xml:space="preserve">10.11.2025 </w:t>
      </w:r>
      <w:r>
        <w:rPr>
          <w:rStyle w:val="CharStyle12"/>
        </w:rPr>
        <w:t xml:space="preserve">со сроком гарантии </w:t>
      </w:r>
      <w:r>
        <w:rPr>
          <w:rStyle w:val="CharStyle12"/>
          <w:lang w:val="en-US" w:eastAsia="en-US"/>
        </w:rPr>
        <w:t xml:space="preserve">12 </w:t>
      </w:r>
      <w:r>
        <w:rPr>
          <w:rStyle w:val="CharStyle12"/>
        </w:rPr>
        <w:t>месяцев на имеющееся у Заказчика оборудование;</w:t>
      </w:r>
    </w:p>
    <w:p>
      <w:pPr>
        <w:pStyle w:val="Style11"/>
        <w:keepNext w:val="0"/>
        <w:keepLines w:val="0"/>
        <w:widowControl w:val="0"/>
        <w:numPr>
          <w:ilvl w:val="0"/>
          <w:numId w:val="7"/>
        </w:numPr>
        <w:shd w:val="clear" w:color="auto" w:fill="auto"/>
        <w:tabs>
          <w:tab w:pos="1695" w:val="left"/>
        </w:tabs>
        <w:bidi w:val="0"/>
        <w:spacing w:before="0" w:after="0"/>
        <w:ind w:left="0" w:right="0" w:firstLine="740"/>
        <w:jc w:val="both"/>
      </w:pPr>
      <w:r>
        <w:rPr>
          <w:rStyle w:val="CharStyle12"/>
        </w:rPr>
        <w:t xml:space="preserve">руководство пользователя на оборудование МФУ </w:t>
      </w:r>
      <w:r>
        <w:rPr>
          <w:rStyle w:val="CharStyle12"/>
          <w:lang w:val="en-US" w:eastAsia="en-US"/>
        </w:rPr>
        <w:t>Sindoh C300.</w:t>
      </w:r>
    </w:p>
    <w:p>
      <w:pPr>
        <w:pStyle w:val="Style11"/>
        <w:keepNext w:val="0"/>
        <w:keepLines w:val="0"/>
        <w:widowControl w:val="0"/>
        <w:shd w:val="clear" w:color="auto" w:fill="auto"/>
        <w:bidi w:val="0"/>
        <w:spacing w:before="0" w:after="0"/>
        <w:ind w:left="0" w:right="0" w:firstLine="740"/>
        <w:jc w:val="both"/>
      </w:pPr>
      <w:r>
        <w:rPr>
          <w:rStyle w:val="CharStyle12"/>
        </w:rPr>
        <w:t xml:space="preserve">Комиссией Управления установлено, что в руководстве пользователя на МФУ </w:t>
      </w:r>
      <w:r>
        <w:rPr>
          <w:rStyle w:val="CharStyle12"/>
          <w:lang w:val="en-US" w:eastAsia="en-US"/>
        </w:rPr>
        <w:t xml:space="preserve">SINDOH C300 </w:t>
      </w:r>
      <w:r>
        <w:rPr>
          <w:rStyle w:val="CharStyle12"/>
        </w:rPr>
        <w:t>на стр.142 указано следующее: «</w:t>
      </w:r>
      <w:r>
        <w:rPr>
          <w:rStyle w:val="CharStyle12"/>
          <w:i/>
          <w:iCs/>
        </w:rPr>
        <w:t xml:space="preserve">МФУ сконструирован таким образом, чтобы наилучшим образом использовать оригинальные компоненты и расходные материалы </w:t>
      </w:r>
      <w:r>
        <w:rPr>
          <w:rStyle w:val="CharStyle12"/>
          <w:i/>
          <w:iCs/>
          <w:lang w:val="en-US" w:eastAsia="en-US"/>
        </w:rPr>
        <w:t xml:space="preserve">Sindoh. </w:t>
      </w:r>
      <w:r>
        <w:rPr>
          <w:rStyle w:val="CharStyle12"/>
          <w:i/>
          <w:iCs/>
        </w:rPr>
        <w:t xml:space="preserve">Использование расходных материалов или компонентов сторонних производителей может повлиять на производительность, надежность или срок службы устройства и его компонентов. Это также может повлиять на гарантийные обязательства. Гарантия не распространяется на повреждения, вызванные использованием компонентов и расходных материалов сторонних производителей. Все индикаторы срока службы предназначены для работы с компонентами и расходными материалами </w:t>
      </w:r>
      <w:r>
        <w:rPr>
          <w:rStyle w:val="CharStyle12"/>
          <w:i/>
          <w:iCs/>
          <w:lang w:val="en-US" w:eastAsia="en-US"/>
        </w:rPr>
        <w:t xml:space="preserve">Sindoh </w:t>
      </w:r>
      <w:r>
        <w:rPr>
          <w:rStyle w:val="CharStyle12"/>
          <w:i/>
          <w:iCs/>
        </w:rPr>
        <w:t>и могут давать непредсказуемые результаты при использовании компонентов и расходных материалов сторонних производителей. Использование компонентов для обработки изображений сверх установленного срока службы может привести к повреждению МФУ или связанных с ним компонентов. Предупреждение: Риск повреждения! Расходные материалы и компоненты, не относящиеся к программе возврата, могут быть сброшены и восстановлены. Тем не менее, гарантийные обязательства производителя не распространяются на какие-либо повреждения, вызванные использованием неоригинальных расходных материалов или компонентов. Сброс счетчиков расходных материалов или компонентов без их надлежащего восстановления может стать причиной повреждения МФУ. После сброса показаний счетчика расходных материалов или компонентов на МФУ может отображаться сообщение об ошибке, указывающее на присутствие элемента, по которому был выполнен сброс</w:t>
      </w:r>
      <w:r>
        <w:rPr>
          <w:rStyle w:val="CharStyle12"/>
        </w:rPr>
        <w:t>.»</w:t>
      </w:r>
    </w:p>
    <w:p>
      <w:pPr>
        <w:pStyle w:val="Style11"/>
        <w:keepNext w:val="0"/>
        <w:keepLines w:val="0"/>
        <w:widowControl w:val="0"/>
        <w:shd w:val="clear" w:color="auto" w:fill="auto"/>
        <w:bidi w:val="0"/>
        <w:spacing w:before="0" w:after="0"/>
        <w:ind w:left="0" w:right="0" w:firstLine="740"/>
        <w:jc w:val="both"/>
      </w:pPr>
      <w:r>
        <w:rPr>
          <w:rStyle w:val="CharStyle12"/>
        </w:rPr>
        <w:t>Комиссия Управления отмечает, что в данном случае речь идёт не о фактической совместимости или несовместимости оборудования Заказчика и расходных материалов сторонних производителей, а о потребности Заказчика в оригинальных расходных материалов, для сохранении гарантии на имеющееся у него оборудование.</w:t>
      </w:r>
    </w:p>
    <w:p>
      <w:pPr>
        <w:pStyle w:val="Style11"/>
        <w:keepNext w:val="0"/>
        <w:keepLines w:val="0"/>
        <w:widowControl w:val="0"/>
        <w:shd w:val="clear" w:color="auto" w:fill="auto"/>
        <w:bidi w:val="0"/>
        <w:spacing w:before="0" w:after="0"/>
        <w:ind w:left="0" w:right="0" w:firstLine="700"/>
        <w:jc w:val="both"/>
      </w:pPr>
      <w:r>
        <w:rPr>
          <w:rStyle w:val="CharStyle12"/>
        </w:rPr>
        <w:t>Таким образом, в случае неисправности оборудования Заказчика, по причине использования расходных материалов иных производителей, Заказчик будет лишён права бесплатного ремонта оборудования.</w:t>
      </w:r>
    </w:p>
    <w:p>
      <w:pPr>
        <w:pStyle w:val="Style11"/>
        <w:keepNext w:val="0"/>
        <w:keepLines w:val="0"/>
        <w:widowControl w:val="0"/>
        <w:shd w:val="clear" w:color="auto" w:fill="auto"/>
        <w:bidi w:val="0"/>
        <w:spacing w:before="0" w:after="0"/>
        <w:ind w:left="0" w:right="0" w:firstLine="700"/>
        <w:jc w:val="both"/>
      </w:pPr>
      <w:r>
        <w:rPr>
          <w:rStyle w:val="CharStyle12"/>
        </w:rPr>
        <w:t>Из совокупности положений Закона о контрактной системе следует, что установление требований к техническим, функциональным характеристикам товара, работ, услуг, а также иных показателей, связанных с определением соответствия поставляемого товара, выполняемых работ, оказываемых услуг существующим потребностям, является прерогативой Заказчика.</w:t>
      </w:r>
    </w:p>
    <w:p>
      <w:pPr>
        <w:pStyle w:val="Style11"/>
        <w:keepNext w:val="0"/>
        <w:keepLines w:val="0"/>
        <w:widowControl w:val="0"/>
        <w:shd w:val="clear" w:color="auto" w:fill="auto"/>
        <w:bidi w:val="0"/>
        <w:spacing w:before="0" w:after="0"/>
        <w:ind w:left="0" w:right="0" w:firstLine="700"/>
        <w:jc w:val="both"/>
      </w:pPr>
      <w:r>
        <w:rPr>
          <w:rStyle w:val="CharStyle12"/>
        </w:rPr>
        <w:t>Закон о контрактной системе не содержит норм, ограничивающих право Заказчика включать описание объекта закупки требования, которые являются для него объективно значимыми, и, обязывающих Заказчика устанавливать в извещении, вопреки его потребностям, такие требования к характеристикам объекта закупки, которые соответствовали бы всем существующим видам товаров.</w:t>
      </w:r>
    </w:p>
    <w:p>
      <w:pPr>
        <w:pStyle w:val="Style11"/>
        <w:keepNext w:val="0"/>
        <w:keepLines w:val="0"/>
        <w:widowControl w:val="0"/>
        <w:shd w:val="clear" w:color="auto" w:fill="auto"/>
        <w:bidi w:val="0"/>
        <w:spacing w:before="0" w:after="0"/>
        <w:ind w:left="0" w:right="0" w:firstLine="700"/>
        <w:jc w:val="both"/>
      </w:pPr>
      <w:r>
        <w:rPr>
          <w:rStyle w:val="CharStyle12"/>
        </w:rPr>
        <w:t>Так, основной задачей законодательства, устанавливающего порядок проведения закупок,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товаров, работ, услуг для обеспечения государственных и муниципальных нужд.</w:t>
      </w:r>
    </w:p>
    <w:p>
      <w:pPr>
        <w:pStyle w:val="Style11"/>
        <w:keepNext w:val="0"/>
        <w:keepLines w:val="0"/>
        <w:widowControl w:val="0"/>
        <w:shd w:val="clear" w:color="auto" w:fill="auto"/>
        <w:bidi w:val="0"/>
        <w:spacing w:before="0" w:after="0"/>
        <w:ind w:left="0" w:right="0" w:firstLine="700"/>
        <w:jc w:val="both"/>
      </w:pPr>
      <w:r>
        <w:rPr>
          <w:rStyle w:val="CharStyle12"/>
        </w:rPr>
        <w:t>Таким образом, при наличии у Заказчика потребности в получении определенных товаров, вести речь о необоснованном ограничении им количества потенциальных участников размещения закупки не приходится,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11"/>
        <w:keepNext w:val="0"/>
        <w:keepLines w:val="0"/>
        <w:widowControl w:val="0"/>
        <w:shd w:val="clear" w:color="auto" w:fill="auto"/>
        <w:bidi w:val="0"/>
        <w:spacing w:before="0" w:after="0"/>
        <w:ind w:left="0" w:right="0" w:firstLine="700"/>
        <w:jc w:val="both"/>
      </w:pPr>
      <w:r>
        <w:rPr>
          <w:rStyle w:val="CharStyle12"/>
        </w:rPr>
        <w:t>На основании изложенного, Комиссия Управления приходит к выводу о том, что вышеуказанный довод Заявителя не нашел своего подтверждения и является необоснованным.</w:t>
      </w:r>
    </w:p>
    <w:p>
      <w:pPr>
        <w:pStyle w:val="Style11"/>
        <w:keepNext w:val="0"/>
        <w:keepLines w:val="0"/>
        <w:widowControl w:val="0"/>
        <w:shd w:val="clear" w:color="auto" w:fill="auto"/>
        <w:bidi w:val="0"/>
        <w:spacing w:before="0" w:after="0"/>
        <w:ind w:left="0" w:right="0" w:firstLine="700"/>
        <w:jc w:val="both"/>
        <w:sectPr>
          <w:headerReference w:type="default" r:id="rId12"/>
          <w:footerReference w:type="default" r:id="rId13"/>
          <w:footnotePr>
            <w:pos w:val="pageBottom"/>
            <w:numFmt w:val="decimal"/>
            <w:numRestart w:val="continuous"/>
          </w:footnotePr>
          <w:pgSz w:w="11900" w:h="16840"/>
          <w:pgMar w:top="1160" w:right="534" w:bottom="1429" w:left="1080" w:header="0" w:footer="3" w:gutter="0"/>
          <w:cols w:space="720"/>
          <w:noEndnote/>
          <w:rtlGutter w:val="0"/>
          <w:docGrid w:linePitch="360"/>
        </w:sectPr>
      </w:pPr>
      <w:r>
        <w:rPr>
          <w:rStyle w:val="CharStyle12"/>
        </w:rPr>
        <w:t>Исследовав представленные материалы, руководствуясь Законом о контрактной системе, Комиссия Управления</w:t>
      </w:r>
    </w:p>
    <w:p>
      <w:pPr>
        <w:pStyle w:val="Style11"/>
        <w:keepNext w:val="0"/>
        <w:keepLines w:val="0"/>
        <w:widowControl w:val="0"/>
        <w:shd w:val="clear" w:color="auto" w:fill="auto"/>
        <w:bidi w:val="0"/>
        <w:spacing w:before="0" w:after="280" w:line="240" w:lineRule="auto"/>
        <w:ind w:left="0" w:right="0" w:firstLine="0"/>
        <w:jc w:val="center"/>
      </w:pPr>
      <w:r>
        <w:rPr>
          <w:rStyle w:val="CharStyle12"/>
          <w:b/>
          <w:bCs/>
        </w:rPr>
        <w:t>РЕШИЛА:</w:t>
      </w:r>
    </w:p>
    <w:p>
      <w:pPr>
        <w:pStyle w:val="Style11"/>
        <w:keepNext w:val="0"/>
        <w:keepLines w:val="0"/>
        <w:widowControl w:val="0"/>
        <w:numPr>
          <w:ilvl w:val="0"/>
          <w:numId w:val="9"/>
        </w:numPr>
        <w:shd w:val="clear" w:color="auto" w:fill="auto"/>
        <w:tabs>
          <w:tab w:pos="1054" w:val="left"/>
        </w:tabs>
        <w:bidi w:val="0"/>
        <w:spacing w:before="0" w:after="0" w:line="240" w:lineRule="auto"/>
        <w:ind w:left="0" w:right="0" w:firstLine="720"/>
        <w:jc w:val="both"/>
      </w:pPr>
      <w:r>
        <w:rPr>
          <w:rStyle w:val="CharStyle12"/>
        </w:rPr>
        <w:t>.Признать жалобу ООО «КВАЗАР» на действия ФКУ «Объединенная дирекция» Минстроя России необоснованной.</w:t>
      </w:r>
    </w:p>
    <w:p>
      <w:pPr>
        <w:pStyle w:val="Style11"/>
        <w:keepNext w:val="0"/>
        <w:keepLines w:val="0"/>
        <w:widowControl w:val="0"/>
        <w:numPr>
          <w:ilvl w:val="0"/>
          <w:numId w:val="9"/>
        </w:numPr>
        <w:shd w:val="clear" w:color="auto" w:fill="auto"/>
        <w:tabs>
          <w:tab w:pos="1050" w:val="left"/>
        </w:tabs>
        <w:bidi w:val="0"/>
        <w:spacing w:before="0" w:after="280" w:line="240" w:lineRule="auto"/>
        <w:ind w:left="0" w:right="0" w:firstLine="720"/>
        <w:jc w:val="both"/>
      </w:pPr>
      <w:r>
        <w:rPr>
          <w:rStyle w:val="CharStyle12"/>
        </w:rPr>
        <w:t>.Снять ограничения, наложенные на определение поставщика (подрядчика, исполнителя) Московским УФАС России.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Решение может быть обжаловано в судебном порядке в Арбитражном суде г. Москвы в течение </w:t>
      </w:r>
      <w:r>
        <w:rPr>
          <w:rStyle w:val="CharStyle12"/>
          <w:lang w:val="en-US" w:eastAsia="en-US"/>
        </w:rPr>
        <w:t xml:space="preserve">3 </w:t>
      </w:r>
      <w:r>
        <w:rPr>
          <w:rStyle w:val="CharStyle12"/>
        </w:rPr>
        <w:t xml:space="preserve">(трех) месяцев с даты его принятия в порядке, установленном гл. </w:t>
      </w:r>
      <w:r>
        <w:rPr>
          <w:rStyle w:val="CharStyle12"/>
          <w:lang w:val="en-US" w:eastAsia="en-US"/>
        </w:rPr>
        <w:t xml:space="preserve">24 </w:t>
      </w:r>
      <w:r>
        <w:rPr>
          <w:rStyle w:val="CharStyle12"/>
        </w:rPr>
        <w:t>АПК РФ.</w:t>
      </w:r>
    </w:p>
    <w:p>
      <w:pPr>
        <w:widowControl w:val="0"/>
        <w:spacing w:line="1" w:lineRule="exact"/>
        <w:sectPr>
          <w:footnotePr>
            <w:pos w:val="pageBottom"/>
            <w:numFmt w:val="decimal"/>
            <w:numRestart w:val="continuous"/>
          </w:footnotePr>
          <w:pgSz w:w="11900" w:h="16840"/>
          <w:pgMar w:top="1158" w:right="532" w:bottom="1465" w:left="1106" w:header="0" w:footer="3" w:gutter="0"/>
          <w:cols w:space="720"/>
          <w:noEndnote/>
          <w:rtlGutter w:val="0"/>
          <w:docGrid w:linePitch="360"/>
        </w:sectPr>
      </w:pPr>
      <w:r>
        <mc:AlternateContent>
          <mc:Choice Requires="wps">
            <w:drawing>
              <wp:anchor distT="939800" distB="191770" distL="0" distR="0" simplePos="0" relativeHeight="125829378" behindDoc="0" locked="0" layoutInCell="1" allowOverlap="1">
                <wp:simplePos x="0" y="0"/>
                <wp:positionH relativeFrom="page">
                  <wp:posOffset>739140</wp:posOffset>
                </wp:positionH>
                <wp:positionV relativeFrom="paragraph">
                  <wp:posOffset>939800</wp:posOffset>
                </wp:positionV>
                <wp:extent cx="1844040" cy="250190"/>
                <wp:wrapTopAndBottom/>
                <wp:docPr id="14" name="Shape 14"/>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wps:txbx>
                      <wps:bodyPr wrap="none" lIns="0" tIns="0" rIns="0" bIns="0">
                        <a:noAutoFit/>
                      </wps:bodyPr>
                    </wps:wsp>
                  </a:graphicData>
                </a:graphic>
              </wp:anchor>
            </w:drawing>
          </mc:Choice>
          <mc:Fallback>
            <w:pict>
              <v:shape id="_x0000_s1040" type="#_x0000_t202" style="position:absolute;margin-left:58.200000000000003pt;margin-top:74.pt;width:145.20000000000002pt;height:19.699999999999999pt;z-index:-125829375;mso-wrap-distance-left:0;mso-wrap-distance-top:74.pt;mso-wrap-distance-right:0;mso-wrap-distance-bottom:15.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v:textbox>
                <w10:wrap type="topAndBottom" anchorx="page"/>
              </v:shape>
            </w:pict>
          </mc:Fallback>
        </mc:AlternateContent>
      </w:r>
      <w:r>
        <w:drawing>
          <wp:anchor distT="1037590" distB="0" distL="0" distR="1816735" simplePos="0" relativeHeight="125829380" behindDoc="0" locked="0" layoutInCell="1" allowOverlap="1">
            <wp:simplePos x="0" y="0"/>
            <wp:positionH relativeFrom="page">
              <wp:posOffset>3296285</wp:posOffset>
            </wp:positionH>
            <wp:positionV relativeFrom="paragraph">
              <wp:posOffset>1037590</wp:posOffset>
            </wp:positionV>
            <wp:extent cx="298450" cy="347345"/>
            <wp:wrapTopAndBottom/>
            <wp:docPr id="16" name="Shape 16"/>
            <a:graphic xmlns:a="http://schemas.openxmlformats.org/drawingml/2006/main">
              <a:graphicData uri="http://schemas.openxmlformats.org/drawingml/2006/picture">
                <pic:pic xmlns:pic="http://schemas.openxmlformats.org/drawingml/2006/picture">
                  <pic:nvPicPr>
                    <pic:cNvPr id="17" name="Picture box 17"/>
                    <pic:cNvPicPr/>
                  </pic:nvPicPr>
                  <pic:blipFill>
                    <a:blip r:embed="rId14"/>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3686175</wp:posOffset>
                </wp:positionH>
                <wp:positionV relativeFrom="paragraph">
                  <wp:posOffset>1098550</wp:posOffset>
                </wp:positionV>
                <wp:extent cx="1722120" cy="259080"/>
                <wp:wrapNone/>
                <wp:docPr id="18" name="Shape 18"/>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4" type="#_x0000_t202" style="position:absolute;margin-left:290.25pt;margin-top:86.5pt;width:135.59999999999999pt;height:20.40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939800" distB="191770" distL="0" distR="0" simplePos="0" relativeHeight="125829381" behindDoc="0" locked="0" layoutInCell="1" allowOverlap="1">
                <wp:simplePos x="0" y="0"/>
                <wp:positionH relativeFrom="page">
                  <wp:posOffset>5908675</wp:posOffset>
                </wp:positionH>
                <wp:positionV relativeFrom="paragraph">
                  <wp:posOffset>939800</wp:posOffset>
                </wp:positionV>
                <wp:extent cx="1307465" cy="250190"/>
                <wp:wrapTopAndBottom/>
                <wp:docPr id="20" name="Shape 20"/>
                <a:graphic xmlns:a="http://schemas.openxmlformats.org/drawingml/2006/main">
                  <a:graphicData uri="http://schemas.microsoft.com/office/word/2010/wordprocessingShape">
                    <wps:wsp>
                      <wps:cNvSpPr txBox="1"/>
                      <wps:spPr>
                        <a:xfrm>
                          <a:ext cx="1307465"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А.А. Кутейников</w:t>
                            </w:r>
                          </w:p>
                        </w:txbxContent>
                      </wps:txbx>
                      <wps:bodyPr wrap="none" lIns="0" tIns="0" rIns="0" bIns="0">
                        <a:noAutoFit/>
                      </wps:bodyPr>
                    </wps:wsp>
                  </a:graphicData>
                </a:graphic>
              </wp:anchor>
            </w:drawing>
          </mc:Choice>
          <mc:Fallback>
            <w:pict>
              <v:shape id="_x0000_s1046" type="#_x0000_t202" style="position:absolute;margin-left:465.25pt;margin-top:74.pt;width:102.95pt;height:19.699999999999999pt;z-index:-125829372;mso-wrap-distance-left:0;mso-wrap-distance-top:74.pt;mso-wrap-distance-right:0;mso-wrap-distance-bottom:15.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А.А. Кутейников</w:t>
                      </w:r>
                    </w:p>
                  </w:txbxContent>
                </v:textbox>
                <w10:wrap type="topAndBottom" anchorx="page"/>
              </v:shape>
            </w:pict>
          </mc:Fallback>
        </mc:AlternateConten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1"/>
          <w:color w:val="FFFFFF"/>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Кому выдан: </w:t>
      </w:r>
      <w:r>
        <w:rPr>
          <w:rStyle w:val="CharStyle23"/>
          <w:color w:val="000000"/>
        </w:rPr>
        <w:t>Кутейников Антон Андреевич</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92929"/>
        </w:rPr>
        <w:t xml:space="preserve">№ </w:t>
      </w:r>
      <w:r>
        <w:rPr>
          <w:rStyle w:val="CharStyle23"/>
          <w:lang w:val="en-US" w:eastAsia="en-US"/>
        </w:rPr>
        <w:t>67950889C45403E5BD9EBC88A8D80C0D</w:t>
      </w:r>
    </w:p>
    <w:p>
      <w:pPr>
        <w:pStyle w:val="Style22"/>
        <w:keepNext w:val="0"/>
        <w:keepLines w:val="0"/>
        <w:widowControl w:val="0"/>
        <w:shd w:val="clear" w:color="auto" w:fill="auto"/>
        <w:bidi w:val="0"/>
        <w:spacing w:before="0" w:after="560" w:line="240" w:lineRule="auto"/>
        <w:ind w:right="0" w:firstLine="0"/>
        <w:jc w:val="left"/>
      </w:pPr>
      <w:r>
        <w:rPr>
          <w:rStyle w:val="CharStyle23"/>
        </w:rPr>
        <w:t xml:space="preserve">Действителен с 19.05.2025 </w:t>
      </w:r>
      <w:r>
        <w:rPr>
          <w:rStyle w:val="CharStyle23"/>
          <w:color w:val="5E5E5E"/>
        </w:rPr>
        <w:t xml:space="preserve">по </w:t>
      </w:r>
      <w:r>
        <w:rPr>
          <w:rStyle w:val="CharStyle23"/>
        </w:rPr>
        <w:t>12.08.2026</w:t>
      </w:r>
    </w:p>
    <w:p>
      <w:pPr>
        <w:pStyle w:val="Style11"/>
        <w:keepNext w:val="0"/>
        <w:keepLines w:val="0"/>
        <w:widowControl w:val="0"/>
        <w:shd w:val="clear" w:color="auto" w:fill="auto"/>
        <w:bidi w:val="0"/>
        <w:spacing w:before="0" w:after="100" w:line="240" w:lineRule="auto"/>
        <w:ind w:left="0" w:right="0" w:firstLine="0"/>
        <w:jc w:val="left"/>
      </w:pPr>
      <w:r>
        <w:rPr>
          <w:rStyle w:val="CharStyle12"/>
        </w:rPr>
        <w:t>Члены Комиссии:</w:t>
      </w:r>
    </w:p>
    <w:p>
      <w:pPr>
        <w:pStyle w:val="Style11"/>
        <w:keepNext w:val="0"/>
        <w:keepLines w:val="0"/>
        <w:widowControl w:val="0"/>
        <w:shd w:val="clear" w:color="auto" w:fill="auto"/>
        <w:bidi w:val="0"/>
        <w:spacing w:before="0" w:after="390" w:line="240" w:lineRule="auto"/>
        <w:ind w:left="0" w:right="0" w:firstLine="0"/>
        <w:jc w:val="right"/>
      </w:pPr>
      <w:r>
        <w:drawing>
          <wp:anchor distT="0" distB="0" distL="114300" distR="1900555" simplePos="0" relativeHeight="125829383" behindDoc="0" locked="0" layoutInCell="1" allowOverlap="1">
            <wp:simplePos x="0" y="0"/>
            <wp:positionH relativeFrom="page">
              <wp:posOffset>3265805</wp:posOffset>
            </wp:positionH>
            <wp:positionV relativeFrom="paragraph">
              <wp:posOffset>63500</wp:posOffset>
            </wp:positionV>
            <wp:extent cx="359410" cy="396240"/>
            <wp:wrapSquare wrapText="right"/>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6"/>
                    <a:stretch/>
                  </pic:blipFill>
                  <pic:spPr>
                    <a:xfrm>
                      <a:ext cx="359410"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3686175</wp:posOffset>
                </wp:positionH>
                <wp:positionV relativeFrom="paragraph">
                  <wp:posOffset>151765</wp:posOffset>
                </wp:positionV>
                <wp:extent cx="1722120" cy="259080"/>
                <wp:wrapNone/>
                <wp:docPr id="24" name="Shape 2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90.25pt;margin-top:11.950000000000001pt;width:135.59999999999999pt;height:20.40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А.С. Гелмутдинова</w: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1"/>
          <w:color w:val="FFFFFF"/>
        </w:rPr>
        <w:t>СВЕДЕНИЯ О СЕРТИФИКАТЕ ЭП</w:t>
      </w:r>
    </w:p>
    <w:p>
      <w:pPr>
        <w:pStyle w:val="Style22"/>
        <w:keepNext w:val="0"/>
        <w:keepLines w:val="0"/>
        <w:widowControl w:val="0"/>
        <w:shd w:val="clear" w:color="auto" w:fill="auto"/>
        <w:bidi w:val="0"/>
        <w:spacing w:before="0" w:after="0"/>
        <w:ind w:right="0" w:firstLine="0"/>
        <w:jc w:val="left"/>
      </w:pPr>
      <w:r>
        <w:rPr>
          <w:rStyle w:val="CharStyle23"/>
        </w:rPr>
        <w:t xml:space="preserve">Кому выдан: </w:t>
      </w:r>
      <w:r>
        <w:rPr>
          <w:rStyle w:val="CharStyle23"/>
          <w:color w:val="000000"/>
        </w:rPr>
        <w:t>ГЕЛМУТДИНОВА АНАСТАСИЯ СЕРГЕЕВНА</w:t>
      </w:r>
      <w:r>
        <w:rPr>
          <w:rStyle w:val="CharStyle23"/>
          <w:color w:val="000000"/>
        </w:rPr>
        <w:t xml:space="preserve"> </w:t>
      </w:r>
      <w:r>
        <w:rPr>
          <w:rStyle w:val="CharStyle23"/>
        </w:rPr>
        <w:t xml:space="preserve">Сертификат </w:t>
      </w:r>
      <w:r>
        <w:rPr>
          <w:rStyle w:val="CharStyle23"/>
          <w:color w:val="292929"/>
        </w:rPr>
        <w:t xml:space="preserve">№ </w:t>
      </w:r>
      <w:r>
        <w:rPr>
          <w:rStyle w:val="CharStyle23"/>
        </w:rPr>
        <w:t>723501СС21703599976371</w:t>
      </w:r>
      <w:r>
        <w:rPr>
          <w:rStyle w:val="CharStyle23"/>
          <w:lang w:val="en-US" w:eastAsia="en-US"/>
        </w:rPr>
        <w:t>4F5C652689</w:t>
      </w:r>
    </w:p>
    <w:p>
      <w:pPr>
        <w:pStyle w:val="Style22"/>
        <w:keepNext w:val="0"/>
        <w:keepLines w:val="0"/>
        <w:widowControl w:val="0"/>
        <w:shd w:val="clear" w:color="auto" w:fill="auto"/>
        <w:bidi w:val="0"/>
        <w:spacing w:before="0" w:after="560"/>
        <w:ind w:right="0" w:firstLine="0"/>
        <w:jc w:val="left"/>
      </w:pPr>
      <w:r>
        <w:rPr>
          <w:rStyle w:val="CharStyle23"/>
        </w:rPr>
        <w:t xml:space="preserve">Действителен с 09.02.2026 </w:t>
      </w:r>
      <w:r>
        <w:rPr>
          <w:rStyle w:val="CharStyle23"/>
          <w:color w:val="5E5E5E"/>
        </w:rPr>
        <w:t xml:space="preserve">по </w:t>
      </w:r>
      <w:r>
        <w:rPr>
          <w:rStyle w:val="CharStyle23"/>
        </w:rPr>
        <w:t>05.05.2027</w:t>
      </w:r>
    </w:p>
    <w:p>
      <w:pPr>
        <w:pStyle w:val="Style11"/>
        <w:keepNext w:val="0"/>
        <w:keepLines w:val="0"/>
        <w:widowControl w:val="0"/>
        <w:shd w:val="clear" w:color="auto" w:fill="auto"/>
        <w:bidi w:val="0"/>
        <w:spacing w:before="0" w:after="390" w:line="240" w:lineRule="auto"/>
        <w:ind w:left="0" w:right="0" w:firstLine="0"/>
        <w:jc w:val="right"/>
      </w:pPr>
      <w:r>
        <w:drawing>
          <wp:anchor distT="0" distB="0" distL="114300" distR="1900555" simplePos="0" relativeHeight="125829384" behindDoc="0" locked="0" layoutInCell="1" allowOverlap="1">
            <wp:simplePos x="0" y="0"/>
            <wp:positionH relativeFrom="page">
              <wp:posOffset>3265805</wp:posOffset>
            </wp:positionH>
            <wp:positionV relativeFrom="paragraph">
              <wp:posOffset>63500</wp:posOffset>
            </wp:positionV>
            <wp:extent cx="359410" cy="396240"/>
            <wp:wrapSquare wrapText="right"/>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18"/>
                    <a:stretch/>
                  </pic:blipFill>
                  <pic:spPr>
                    <a:xfrm>
                      <a:ext cx="359410"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3686175</wp:posOffset>
                </wp:positionH>
                <wp:positionV relativeFrom="paragraph">
                  <wp:posOffset>151765</wp:posOffset>
                </wp:positionV>
                <wp:extent cx="1722120" cy="259080"/>
                <wp:wrapNone/>
                <wp:docPr id="28" name="Shape 28"/>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4" type="#_x0000_t202" style="position:absolute;margin-left:290.25pt;margin-top:11.950000000000001pt;width:135.59999999999999pt;height:20.400000000000002pt;z-index:251657733;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Е.С. Переверзева</w: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1"/>
          <w:color w:val="FFFFFF"/>
        </w:rPr>
        <w:t>СВЕДЕНИЯ О СЕРТИФИКАТЕ ЭП</w:t>
      </w:r>
    </w:p>
    <w:p>
      <w:pPr>
        <w:pStyle w:val="Style22"/>
        <w:keepNext w:val="0"/>
        <w:keepLines w:val="0"/>
        <w:widowControl w:val="0"/>
        <w:shd w:val="clear" w:color="auto" w:fill="auto"/>
        <w:bidi w:val="0"/>
        <w:spacing w:before="0" w:after="0"/>
        <w:ind w:right="0" w:firstLine="0"/>
        <w:jc w:val="left"/>
      </w:pPr>
      <w:r>
        <w:rPr>
          <w:rStyle w:val="CharStyle23"/>
        </w:rPr>
        <w:t xml:space="preserve">Кому выдан: </w:t>
      </w:r>
      <w:r>
        <w:rPr>
          <w:rStyle w:val="CharStyle23"/>
          <w:color w:val="000000"/>
        </w:rPr>
        <w:t>ПЕРЕВЕРЗЕВА ЕЛИЗАВЕТА СЕРГЕЕВНА</w:t>
      </w:r>
      <w:r>
        <w:rPr>
          <w:rStyle w:val="CharStyle23"/>
          <w:color w:val="000000"/>
        </w:rPr>
        <w:t xml:space="preserve"> </w:t>
      </w:r>
      <w:r>
        <w:rPr>
          <w:rStyle w:val="CharStyle23"/>
        </w:rPr>
        <w:t xml:space="preserve">Сертификат </w:t>
      </w:r>
      <w:r>
        <w:rPr>
          <w:rStyle w:val="CharStyle23"/>
          <w:color w:val="292929"/>
        </w:rPr>
        <w:t xml:space="preserve">№ </w:t>
      </w:r>
      <w:r>
        <w:rPr>
          <w:rStyle w:val="CharStyle23"/>
          <w:lang w:val="en-US" w:eastAsia="en-US"/>
        </w:rPr>
        <w:t>00FFF3ACD3A01A73F4C680C3941</w:t>
      </w:r>
      <w:r>
        <w:rPr>
          <w:rStyle w:val="CharStyle23"/>
        </w:rPr>
        <w:t>ЕЗСА026</w:t>
      </w:r>
    </w:p>
    <w:p>
      <w:pPr>
        <w:pStyle w:val="Style22"/>
        <w:keepNext w:val="0"/>
        <w:keepLines w:val="0"/>
        <w:widowControl w:val="0"/>
        <w:shd w:val="clear" w:color="auto" w:fill="auto"/>
        <w:bidi w:val="0"/>
        <w:spacing w:before="0" w:after="2820"/>
        <w:ind w:right="0" w:firstLine="0"/>
        <w:jc w:val="left"/>
      </w:pPr>
      <w:r>
        <w:rPr>
          <w:rStyle w:val="CharStyle23"/>
        </w:rPr>
        <w:t xml:space="preserve">Действителен с 11.12.2025 </w:t>
      </w:r>
      <w:r>
        <w:rPr>
          <w:rStyle w:val="CharStyle23"/>
          <w:color w:val="5E5E5E"/>
        </w:rPr>
        <w:t xml:space="preserve">по </w:t>
      </w:r>
      <w:r>
        <w:rPr>
          <w:rStyle w:val="CharStyle23"/>
        </w:rPr>
        <w:t>06.03.2027</w:t>
      </w:r>
    </w:p>
    <w:p>
      <w:pPr>
        <w:pStyle w:val="Style27"/>
        <w:keepNext w:val="0"/>
        <w:keepLines w:val="0"/>
        <w:widowControl w:val="0"/>
        <w:shd w:val="clear" w:color="auto" w:fill="auto"/>
        <w:bidi w:val="0"/>
        <w:spacing w:before="0" w:line="240" w:lineRule="auto"/>
        <w:ind w:left="0" w:right="0" w:firstLine="0"/>
        <w:jc w:val="left"/>
      </w:pPr>
      <w:r>
        <w:rPr>
          <w:rStyle w:val="CharStyle28"/>
        </w:rPr>
        <w:t>Исп.Гелмутдинова А.С. тел.8(495)784-75-05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10247630</wp:posOffset>
              </wp:positionV>
              <wp:extent cx="709930" cy="94615"/>
              <wp:wrapNone/>
              <wp:docPr id="2" name="Shape 2"/>
              <a:graphic xmlns:a="http://schemas.openxmlformats.org/drawingml/2006/main">
                <a:graphicData uri="http://schemas.microsoft.com/office/word/2010/wordprocessingShape">
                  <wps:wsp>
                    <wps:cNvSpPr txBox="1"/>
                    <wps:spPr>
                      <a:xfrm>
                        <a:ext cx="709930" cy="946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2026-24266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pt;margin-top:806.89999999999998pt;width:55.899999999999999pt;height:7.4500000000000002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2026-24266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726440</wp:posOffset>
              </wp:positionH>
              <wp:positionV relativeFrom="page">
                <wp:posOffset>10093960</wp:posOffset>
              </wp:positionV>
              <wp:extent cx="725170" cy="103505"/>
              <wp:wrapNone/>
              <wp:docPr id="6" name="Shape 6"/>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2026-24266</w:t>
                          </w:r>
                        </w:p>
                      </w:txbxContent>
                    </wps:txbx>
                    <wps:bodyPr wrap="none" lIns="0" tIns="0" rIns="0" bIns="0">
                      <a:spAutoFit/>
                    </wps:bodyPr>
                  </wps:wsp>
                </a:graphicData>
              </a:graphic>
            </wp:anchor>
          </w:drawing>
        </mc:Choice>
        <mc:Fallback>
          <w:pict>
            <v:shape id="_x0000_s1032" type="#_x0000_t202" style="position:absolute;margin-left:57.200000000000003pt;margin-top:794.80000000000007pt;width:57.100000000000001pt;height:8.15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2026-24266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726440</wp:posOffset>
              </wp:positionH>
              <wp:positionV relativeFrom="page">
                <wp:posOffset>10093960</wp:posOffset>
              </wp:positionV>
              <wp:extent cx="725170" cy="103505"/>
              <wp:wrapNone/>
              <wp:docPr id="12" name="Shape 12"/>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2026-24266</w:t>
                          </w:r>
                        </w:p>
                      </w:txbxContent>
                    </wps:txbx>
                    <wps:bodyPr wrap="none" lIns="0" tIns="0" rIns="0" bIns="0">
                      <a:spAutoFit/>
                    </wps:bodyPr>
                  </wps:wsp>
                </a:graphicData>
              </a:graphic>
            </wp:anchor>
          </w:drawing>
        </mc:Choice>
        <mc:Fallback>
          <w:pict>
            <v:shape id="_x0000_s1038" type="#_x0000_t202" style="position:absolute;margin-left:57.200000000000003pt;margin-top:794.80000000000007pt;width:57.100000000000001pt;height:8.15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2026-24266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3926840</wp:posOffset>
              </wp:positionH>
              <wp:positionV relativeFrom="page">
                <wp:posOffset>473075</wp:posOffset>
              </wp:positionV>
              <wp:extent cx="42545" cy="121920"/>
              <wp:wrapNone/>
              <wp:docPr id="4" name="Shape 4"/>
              <a:graphic xmlns:a="http://schemas.openxmlformats.org/drawingml/2006/main">
                <a:graphicData uri="http://schemas.microsoft.com/office/word/2010/wordprocessingShape">
                  <wps:wsp>
                    <wps:cNvSpPr txBox="1"/>
                    <wps:spPr>
                      <a:xfrm>
                        <a:ext cx="42545"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0" type="#_x0000_t202" style="position:absolute;margin-left:309.19999999999999pt;margin-top:37.25pt;width:3.3500000000000001pt;height:9.5999999999999996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3927475</wp:posOffset>
              </wp:positionH>
              <wp:positionV relativeFrom="page">
                <wp:posOffset>473075</wp:posOffset>
              </wp:positionV>
              <wp:extent cx="73025" cy="121920"/>
              <wp:wrapNone/>
              <wp:docPr id="8" name="Shape 8"/>
              <a:graphic xmlns:a="http://schemas.openxmlformats.org/drawingml/2006/main">
                <a:graphicData uri="http://schemas.microsoft.com/office/word/2010/wordprocessingShape">
                  <wps:wsp>
                    <wps:cNvSpPr txBox="1"/>
                    <wps:spPr>
                      <a:xfrm>
                        <a:ext cx="73025"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4" type="#_x0000_t202" style="position:absolute;margin-left:309.25pt;margin-top:37.25pt;width:5.75pt;height:9.5999999999999996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3926840</wp:posOffset>
              </wp:positionH>
              <wp:positionV relativeFrom="page">
                <wp:posOffset>473075</wp:posOffset>
              </wp:positionV>
              <wp:extent cx="42545" cy="121920"/>
              <wp:wrapNone/>
              <wp:docPr id="10" name="Shape 10"/>
              <a:graphic xmlns:a="http://schemas.openxmlformats.org/drawingml/2006/main">
                <a:graphicData uri="http://schemas.microsoft.com/office/word/2010/wordprocessingShape">
                  <wps:wsp>
                    <wps:cNvSpPr txBox="1"/>
                    <wps:spPr>
                      <a:xfrm>
                        <a:ext cx="42545"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6" type="#_x0000_t202" style="position:absolute;margin-left:309.19999999999999pt;margin-top:37.25pt;width:3.3500000000000001pt;height:9.5999999999999996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10">
    <w:name w:val="Heading #2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Heading #1_"/>
    <w:basedOn w:val="DefaultParagraphFont"/>
    <w:link w:val="Style14"/>
    <w:rPr>
      <w:rFonts w:ascii="Arial" w:eastAsia="Arial" w:hAnsi="Arial" w:cs="Arial"/>
      <w:b w:val="0"/>
      <w:bCs w:val="0"/>
      <w:i w:val="0"/>
      <w:iCs w:val="0"/>
      <w:smallCaps w:val="0"/>
      <w:strike w:val="0"/>
      <w:sz w:val="50"/>
      <w:szCs w:val="50"/>
      <w:u w:val="none"/>
      <w:lang w:val="en-US" w:eastAsia="en-US"/>
    </w:rPr>
  </w:style>
  <w:style w:type="character" w:customStyle="1" w:styleId="CharStyle19">
    <w:name w:val="Picture caption_"/>
    <w:basedOn w:val="DefaultParagraphFont"/>
    <w:link w:val="Style18"/>
    <w:rPr>
      <w:rFonts w:ascii="Georgia" w:eastAsia="Georgia" w:hAnsi="Georgia" w:cs="Georgia"/>
      <w:b w:val="0"/>
      <w:bCs w:val="0"/>
      <w:i w:val="0"/>
      <w:iCs w:val="0"/>
      <w:smallCaps w:val="0"/>
      <w:strike w:val="0"/>
      <w:color w:val="292929"/>
      <w:sz w:val="11"/>
      <w:szCs w:val="11"/>
      <w:u w:val="none"/>
    </w:rPr>
  </w:style>
  <w:style w:type="character" w:customStyle="1" w:styleId="CharStyle21">
    <w:name w:val="Body text (4)_"/>
    <w:basedOn w:val="DefaultParagraphFont"/>
    <w:link w:val="Style20"/>
    <w:rPr>
      <w:rFonts w:ascii="Georgia" w:eastAsia="Georgia" w:hAnsi="Georgia" w:cs="Georgia"/>
      <w:b w:val="0"/>
      <w:bCs w:val="0"/>
      <w:i w:val="0"/>
      <w:iCs w:val="0"/>
      <w:smallCaps w:val="0"/>
      <w:strike w:val="0"/>
      <w:color w:val="EBEBEB"/>
      <w:sz w:val="12"/>
      <w:szCs w:val="12"/>
      <w:u w:val="none"/>
    </w:rPr>
  </w:style>
  <w:style w:type="character" w:customStyle="1" w:styleId="CharStyle23">
    <w:name w:val="Body text (2)_"/>
    <w:basedOn w:val="DefaultParagraphFont"/>
    <w:link w:val="Style22"/>
    <w:rPr>
      <w:rFonts w:ascii="Arial" w:eastAsia="Arial" w:hAnsi="Arial" w:cs="Arial"/>
      <w:b w:val="0"/>
      <w:bCs w:val="0"/>
      <w:i w:val="0"/>
      <w:iCs w:val="0"/>
      <w:smallCaps w:val="0"/>
      <w:strike w:val="0"/>
      <w:color w:val="434343"/>
      <w:sz w:val="12"/>
      <w:szCs w:val="12"/>
      <w:u w:val="none"/>
    </w:rPr>
  </w:style>
  <w:style w:type="character" w:customStyle="1" w:styleId="CharStyle28">
    <w:name w:val="Body text (5)_"/>
    <w:basedOn w:val="DefaultParagraphFont"/>
    <w:link w:val="Style27"/>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customStyle="1" w:styleId="Style9">
    <w:name w:val="Heading #2"/>
    <w:basedOn w:val="Normal"/>
    <w:link w:val="CharStyle10"/>
    <w:pPr>
      <w:widowControl w:val="0"/>
      <w:shd w:val="clear" w:color="auto" w:fill="auto"/>
      <w:jc w:val="center"/>
      <w:outlineLvl w:val="1"/>
    </w:pPr>
    <w:rPr>
      <w:rFonts w:ascii="Times New Roman" w:eastAsia="Times New Roman" w:hAnsi="Times New Roman" w:cs="Times New Roman"/>
      <w:b w:val="0"/>
      <w:bCs w:val="0"/>
      <w:i w:val="0"/>
      <w:iCs w:val="0"/>
      <w:smallCaps w:val="0"/>
      <w:strike w:val="0"/>
      <w:sz w:val="30"/>
      <w:szCs w:val="30"/>
      <w:u w:val="none"/>
    </w:rPr>
  </w:style>
  <w:style w:type="paragraph" w:styleId="Style11">
    <w:name w:val="Body text"/>
    <w:basedOn w:val="Normal"/>
    <w:link w:val="CharStyle12"/>
    <w:qFormat/>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Heading #1"/>
    <w:basedOn w:val="Normal"/>
    <w:link w:val="CharStyle15"/>
    <w:pPr>
      <w:widowControl w:val="0"/>
      <w:shd w:val="clear" w:color="auto" w:fill="auto"/>
      <w:ind w:firstLine="360"/>
      <w:outlineLvl w:val="0"/>
    </w:pPr>
    <w:rPr>
      <w:rFonts w:ascii="Arial" w:eastAsia="Arial" w:hAnsi="Arial" w:cs="Arial"/>
      <w:b w:val="0"/>
      <w:bCs w:val="0"/>
      <w:i w:val="0"/>
      <w:iCs w:val="0"/>
      <w:smallCaps w:val="0"/>
      <w:strike w:val="0"/>
      <w:sz w:val="50"/>
      <w:szCs w:val="50"/>
      <w:u w:val="none"/>
      <w:lang w:val="en-US" w:eastAsia="en-US"/>
    </w:rPr>
  </w:style>
  <w:style w:type="paragraph" w:customStyle="1" w:styleId="Style18">
    <w:name w:val="Picture caption"/>
    <w:basedOn w:val="Normal"/>
    <w:link w:val="CharStyle19"/>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0">
    <w:name w:val="Body text (4)"/>
    <w:basedOn w:val="Normal"/>
    <w:link w:val="CharStyle21"/>
    <w:pPr>
      <w:widowControl w:val="0"/>
      <w:shd w:val="clear" w:color="auto" w:fill="auto"/>
      <w:spacing w:after="100"/>
      <w:ind w:left="4780"/>
    </w:pPr>
    <w:rPr>
      <w:rFonts w:ascii="Georgia" w:eastAsia="Georgia" w:hAnsi="Georgia" w:cs="Georgia"/>
      <w:b w:val="0"/>
      <w:bCs w:val="0"/>
      <w:i w:val="0"/>
      <w:iCs w:val="0"/>
      <w:smallCaps w:val="0"/>
      <w:strike w:val="0"/>
      <w:color w:val="EBEBEB"/>
      <w:sz w:val="12"/>
      <w:szCs w:val="12"/>
      <w:u w:val="none"/>
    </w:rPr>
  </w:style>
  <w:style w:type="paragraph" w:customStyle="1" w:styleId="Style22">
    <w:name w:val="Body text (2)"/>
    <w:basedOn w:val="Normal"/>
    <w:link w:val="CharStyle23"/>
    <w:pPr>
      <w:widowControl w:val="0"/>
      <w:shd w:val="clear" w:color="auto" w:fill="auto"/>
      <w:spacing w:line="266" w:lineRule="auto"/>
      <w:ind w:left="4060"/>
    </w:pPr>
    <w:rPr>
      <w:rFonts w:ascii="Arial" w:eastAsia="Arial" w:hAnsi="Arial" w:cs="Arial"/>
      <w:b w:val="0"/>
      <w:bCs w:val="0"/>
      <w:i w:val="0"/>
      <w:iCs w:val="0"/>
      <w:smallCaps w:val="0"/>
      <w:strike w:val="0"/>
      <w:color w:val="434343"/>
      <w:sz w:val="12"/>
      <w:szCs w:val="12"/>
      <w:u w:val="none"/>
    </w:rPr>
  </w:style>
  <w:style w:type="paragraph" w:customStyle="1" w:styleId="Style27">
    <w:name w:val="Body text (5)"/>
    <w:basedOn w:val="Normal"/>
    <w:link w:val="CharStyle28"/>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 Id="rId10" Type="http://schemas.openxmlformats.org/officeDocument/2006/relationships/header" Target="header2.xml"/><Relationship Id="rId11" Type="http://schemas.openxmlformats.org/officeDocument/2006/relationships/footer" Target="footer3.xml"/><Relationship Id="rId12" Type="http://schemas.openxmlformats.org/officeDocument/2006/relationships/header" Target="header3.xml"/><Relationship Id="rId13" Type="http://schemas.openxmlformats.org/officeDocument/2006/relationships/footer" Target="footer4.xml"/><Relationship Id="rId14" Type="http://schemas.openxmlformats.org/officeDocument/2006/relationships/image" Target="media/image2.jpeg"/><Relationship Id="rId15" Type="http://schemas.openxmlformats.org/officeDocument/2006/relationships/image" Target="media/image2.jpeg" TargetMode="External"/><Relationship Id="rId16" Type="http://schemas.openxmlformats.org/officeDocument/2006/relationships/image" Target="media/image3.jpeg"/><Relationship Id="rId17" Type="http://schemas.openxmlformats.org/officeDocument/2006/relationships/image" Target="media/image3.jpeg" TargetMode="External"/><Relationship Id="rId18" Type="http://schemas.openxmlformats.org/officeDocument/2006/relationships/image" Target="media/image4.jpeg"/><Relationship Id="rId19" Type="http://schemas.openxmlformats.org/officeDocument/2006/relationships/image" Target="media/image4.jpeg" TargetMode="External"/></Relationships>
</file>