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по г. Москве</w:t>
      </w:r>
    </w:p>
    <w:p>
      <w:pPr>
        <w:pStyle w:val="Style5"/>
        <w:keepNext w:val="0"/>
        <w:keepLines w:val="0"/>
        <w:widowControl w:val="0"/>
        <w:shd w:val="clear" w:color="auto" w:fill="auto"/>
        <w:bidi w:val="0"/>
        <w:spacing w:before="0" w:after="100" w:line="240" w:lineRule="auto"/>
        <w:ind w:left="0" w:right="0" w:firstLine="0"/>
        <w:jc w:val="center"/>
      </w:pPr>
      <w:r>
        <w:rPr>
          <w:rStyle w:val="CharStyle6"/>
        </w:rPr>
        <w:t>Мясницкий проезд, д.4, стр. 1</w:t>
        <w:br/>
        <w:t>107078, г. Москва,</w:t>
        <w:br/>
        <w:t>тел. (495) 784-75-05, факс (495) 607-49-29</w:t>
        <w:br/>
        <w:t xml:space="preserve">факс (495) 607-42-92, </w:t>
      </w:r>
      <w:r>
        <w:rPr>
          <w:rStyle w:val="CharStyle6"/>
          <w:u w:val="single"/>
          <w:lang w:val="en-US" w:eastAsia="en-US"/>
        </w:rPr>
        <w:t xml:space="preserve">e-mail: </w:t>
      </w:r>
      <w:r>
        <w:fldChar w:fldCharType="begin"/>
      </w:r>
      <w:r>
        <w:rPr/>
        <w:instrText> HYPERLINK "mailto:to77@fas.gov.ru" </w:instrText>
      </w:r>
      <w:r>
        <w:fldChar w:fldCharType="separate"/>
      </w:r>
      <w:r>
        <w:rPr>
          <w:rStyle w:val="CharStyle6"/>
          <w:u w:val="single"/>
          <w:lang w:val="en-US" w:eastAsia="en-US"/>
        </w:rPr>
        <w:t>to77@fas.gov.ru</w:t>
      </w:r>
      <w:r>
        <w:fldChar w:fldCharType="end"/>
      </w:r>
    </w:p>
    <w:p>
      <w:pPr>
        <w:pStyle w:val="Style9"/>
        <w:keepNext/>
        <w:keepLines/>
        <w:widowControl w:val="0"/>
        <w:shd w:val="clear" w:color="auto" w:fill="auto"/>
        <w:tabs>
          <w:tab w:pos="1814" w:val="left"/>
        </w:tabs>
        <w:bidi w:val="0"/>
        <w:spacing w:before="0" w:after="0" w:line="240" w:lineRule="auto"/>
        <w:ind w:left="0" w:right="0" w:firstLine="0"/>
        <w:jc w:val="center"/>
      </w:pPr>
      <w:bookmarkStart w:id="0" w:name="bookmark0"/>
      <w:r>
        <w:rPr>
          <w:rStyle w:val="CharStyle10"/>
        </w:rPr>
        <w:t>1</w:t>
      </w:r>
      <w:r>
        <w:fldChar w:fldCharType="begin"/>
      </w:r>
      <w:r>
        <w:rPr/>
        <w:instrText> HYPERLINK "file://f207ca94-a13c-4ba0-b72d-f018c9eed8f1/" </w:instrText>
      </w:r>
      <w:r>
        <w:fldChar w:fldCharType="separate"/>
      </w:r>
      <w:r>
        <w:rPr>
          <w:rStyle w:val="CharStyle10"/>
        </w:rPr>
        <w:t>8.05.2026</w:t>
      </w:r>
      <w:r>
        <w:fldChar w:fldCharType="end"/>
      </w:r>
      <w:r>
        <w:rPr>
          <w:rStyle w:val="CharStyle10"/>
        </w:rPr>
        <w:tab/>
        <w:t>№ 20930/26</w:t>
      </w:r>
      <w:bookmarkEnd w:id="0"/>
    </w:p>
    <w:p>
      <w:pPr>
        <w:pStyle w:val="Style11"/>
        <w:keepNext w:val="0"/>
        <w:keepLines w:val="0"/>
        <w:widowControl w:val="0"/>
        <w:shd w:val="clear" w:color="auto" w:fill="auto"/>
        <w:bidi w:val="0"/>
        <w:spacing w:before="0" w:after="0" w:line="480" w:lineRule="auto"/>
        <w:ind w:left="0" w:right="0" w:firstLine="0"/>
        <w:jc w:val="left"/>
      </w:pPr>
      <w:r>
        <w:rPr>
          <w:rStyle w:val="CharStyle12"/>
        </w:rPr>
        <w:t xml:space="preserve">ГКУ «Дирекция ЖКХиБ ВАО» </w:t>
      </w:r>
      <w:r>
        <w:fldChar w:fldCharType="begin"/>
      </w:r>
      <w:r>
        <w:rPr/>
        <w:instrText> HYPERLINK "mailto:guzvao@mail.ru" </w:instrText>
      </w:r>
      <w:r>
        <w:fldChar w:fldCharType="separate"/>
      </w:r>
      <w:r>
        <w:rPr>
          <w:rStyle w:val="CharStyle12"/>
          <w:lang w:val="en-US" w:eastAsia="en-US"/>
        </w:rPr>
        <w:t>guzvao@mail.ru</w:t>
      </w:r>
      <w:r>
        <w:fldChar w:fldCharType="end"/>
      </w:r>
    </w:p>
    <w:p>
      <w:pPr>
        <w:pStyle w:val="Style11"/>
        <w:keepNext w:val="0"/>
        <w:keepLines w:val="0"/>
        <w:widowControl w:val="0"/>
        <w:shd w:val="clear" w:color="auto" w:fill="auto"/>
        <w:bidi w:val="0"/>
        <w:spacing w:before="0" w:after="280" w:line="240" w:lineRule="auto"/>
        <w:ind w:left="0" w:right="0" w:firstLine="0"/>
        <w:jc w:val="left"/>
      </w:pPr>
      <w:r>
        <w:rPr>
          <w:rStyle w:val="CharStyle12"/>
        </w:rPr>
        <w:t>Управа района Ивановское города Москвы</w:t>
      </w:r>
    </w:p>
    <w:p>
      <w:pPr>
        <w:pStyle w:val="Style11"/>
        <w:keepNext w:val="0"/>
        <w:keepLines w:val="0"/>
        <w:widowControl w:val="0"/>
        <w:shd w:val="clear" w:color="auto" w:fill="auto"/>
        <w:bidi w:val="0"/>
        <w:spacing w:before="0" w:after="120" w:line="360" w:lineRule="auto"/>
        <w:ind w:left="0" w:right="0" w:firstLine="0"/>
        <w:jc w:val="left"/>
      </w:pPr>
      <w:r>
        <w:fldChar w:fldCharType="begin"/>
      </w:r>
      <w:r>
        <w:rPr/>
        <w:instrText> HYPERLINK "mailto:ivanovskoe@mos.ru" </w:instrText>
      </w:r>
      <w:r>
        <w:fldChar w:fldCharType="separate"/>
      </w:r>
      <w:r>
        <w:rPr>
          <w:rStyle w:val="CharStyle12"/>
          <w:lang w:val="en-US" w:eastAsia="en-US"/>
        </w:rPr>
        <w:t>ivanovskoe@mos.ru</w:t>
      </w:r>
      <w:r>
        <w:fldChar w:fldCharType="end"/>
      </w:r>
    </w:p>
    <w:p>
      <w:pPr>
        <w:pStyle w:val="Style11"/>
        <w:keepNext w:val="0"/>
        <w:keepLines w:val="0"/>
        <w:widowControl w:val="0"/>
        <w:shd w:val="clear" w:color="auto" w:fill="auto"/>
        <w:bidi w:val="0"/>
        <w:spacing w:before="0" w:after="120" w:line="360" w:lineRule="auto"/>
        <w:ind w:left="0" w:right="0" w:firstLine="0"/>
        <w:jc w:val="left"/>
      </w:pPr>
      <w:r>
        <w:rPr>
          <w:rStyle w:val="CharStyle12"/>
        </w:rPr>
        <w:t>ООО «Извор»</w:t>
      </w:r>
    </w:p>
    <w:p>
      <w:pPr>
        <w:pStyle w:val="Style11"/>
        <w:keepNext w:val="0"/>
        <w:keepLines w:val="0"/>
        <w:widowControl w:val="0"/>
        <w:shd w:val="clear" w:color="auto" w:fill="auto"/>
        <w:bidi w:val="0"/>
        <w:spacing w:before="0" w:after="0" w:line="36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4" w:right="1390" w:bottom="708" w:left="1293" w:header="0" w:footer="3" w:gutter="0"/>
          <w:pgNumType w:start="1"/>
          <w:cols w:num="2" w:space="1008"/>
          <w:noEndnote/>
          <w:titlePg/>
          <w:rtlGutter w:val="0"/>
          <w:docGrid w:linePitch="360"/>
        </w:sectPr>
      </w:pPr>
      <w:r>
        <w:fldChar w:fldCharType="begin"/>
      </w:r>
      <w:r>
        <w:rPr/>
        <w:instrText> HYPERLINK "mailto:izvorgroup@gmail.com" </w:instrText>
      </w:r>
      <w:r>
        <w:fldChar w:fldCharType="separate"/>
      </w:r>
      <w:r>
        <w:rPr>
          <w:rStyle w:val="CharStyle12"/>
          <w:lang w:val="en-US" w:eastAsia="en-US"/>
        </w:rPr>
        <w:t>izvorgroup@gmail.com</w:t>
      </w:r>
      <w:r>
        <w:fldChar w:fldCharType="end"/>
      </w:r>
    </w:p>
    <w:p>
      <w:pPr>
        <w:widowControl w:val="0"/>
        <w:spacing w:line="189" w:lineRule="exact"/>
        <w:rPr>
          <w:sz w:val="15"/>
          <w:szCs w:val="15"/>
        </w:rPr>
      </w:pPr>
    </w:p>
    <w:p>
      <w:pPr>
        <w:widowControl w:val="0"/>
        <w:spacing w:line="1" w:lineRule="exact"/>
        <w:sectPr>
          <w:footnotePr>
            <w:pos w:val="pageBottom"/>
            <w:numFmt w:val="decimal"/>
            <w:numRestart w:val="continuous"/>
          </w:footnotePr>
          <w:type w:val="continuous"/>
          <w:pgSz w:w="11900" w:h="16840"/>
          <w:pgMar w:top="631" w:right="0" w:bottom="1002" w:left="0" w:header="0" w:footer="3" w:gutter="0"/>
          <w:cols w:space="720"/>
          <w:noEndnote/>
          <w:rtlGutter w:val="0"/>
          <w:docGrid w:linePitch="360"/>
        </w:sectPr>
      </w:pPr>
    </w:p>
    <w:p>
      <w:pPr>
        <w:pStyle w:val="Style11"/>
        <w:keepNext w:val="0"/>
        <w:keepLines w:val="0"/>
        <w:widowControl w:val="0"/>
        <w:shd w:val="clear" w:color="auto" w:fill="auto"/>
        <w:bidi w:val="0"/>
        <w:spacing w:before="0" w:after="0" w:line="240" w:lineRule="auto"/>
        <w:ind w:left="0" w:right="0" w:firstLine="0"/>
        <w:jc w:val="center"/>
      </w:pPr>
      <w:r>
        <w:rPr>
          <w:rStyle w:val="CharStyle12"/>
          <w:b/>
          <w:bCs/>
        </w:rPr>
        <w:t>РЕШЕНИЕ</w:t>
      </w:r>
    </w:p>
    <w:p>
      <w:pPr>
        <w:pStyle w:val="Style11"/>
        <w:keepNext w:val="0"/>
        <w:keepLines w:val="0"/>
        <w:widowControl w:val="0"/>
        <w:shd w:val="clear" w:color="auto" w:fill="auto"/>
        <w:bidi w:val="0"/>
        <w:spacing w:before="0" w:after="0" w:line="240" w:lineRule="auto"/>
        <w:ind w:left="0" w:right="0" w:firstLine="0"/>
        <w:jc w:val="center"/>
      </w:pPr>
      <w:r>
        <w:rPr>
          <w:rStyle w:val="CharStyle12"/>
          <w:b/>
          <w:bCs/>
        </w:rPr>
        <w:t xml:space="preserve">по делу </w:t>
      </w:r>
      <w:r>
        <w:rPr>
          <w:rStyle w:val="CharStyle12"/>
          <w:b/>
          <w:bCs/>
          <w:lang w:val="en-US" w:eastAsia="en-US"/>
        </w:rPr>
        <w:t xml:space="preserve">№077/06/105-6030/2026 </w:t>
      </w:r>
      <w:r>
        <w:rPr>
          <w:rStyle w:val="CharStyle12"/>
          <w:b/>
          <w:bCs/>
        </w:rPr>
        <w:t>о нарушении</w:t>
        <w:br/>
        <w:t>законодательства о контрактной системе</w:t>
      </w:r>
    </w:p>
    <w:p>
      <w:pPr>
        <w:pStyle w:val="Style11"/>
        <w:keepNext w:val="0"/>
        <w:keepLines w:val="0"/>
        <w:widowControl w:val="0"/>
        <w:shd w:val="clear" w:color="auto" w:fill="auto"/>
        <w:bidi w:val="0"/>
        <w:spacing w:before="0" w:after="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705485</wp:posOffset>
                </wp:positionH>
                <wp:positionV relativeFrom="paragraph">
                  <wp:posOffset>25400</wp:posOffset>
                </wp:positionV>
                <wp:extent cx="1322705" cy="621665"/>
                <wp:wrapSquare wrapText="right"/>
                <wp:docPr id="8" name="Shape 8"/>
                <a:graphic xmlns:a="http://schemas.openxmlformats.org/drawingml/2006/main">
                  <a:graphicData uri="http://schemas.microsoft.com/office/word/2010/wordprocessingShape">
                    <wps:wsp>
                      <wps:cNvSpPr txBox="1"/>
                      <wps:spPr>
                        <a:xfrm>
                          <a:ext cx="1322705" cy="62166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b/>
                                <w:bCs/>
                                <w:lang w:val="en-US" w:eastAsia="en-US"/>
                              </w:rPr>
                              <w:t>13.05.2026</w:t>
                            </w:r>
                          </w:p>
                          <w:p>
                            <w:pPr>
                              <w:pStyle w:val="Style11"/>
                              <w:keepNext w:val="0"/>
                              <w:keepLines w:val="0"/>
                              <w:widowControl w:val="0"/>
                              <w:shd w:val="clear" w:color="auto" w:fill="auto"/>
                              <w:bidi w:val="0"/>
                              <w:spacing w:before="0" w:after="0" w:line="240" w:lineRule="auto"/>
                              <w:ind w:left="0" w:right="0" w:firstLine="700"/>
                              <w:jc w:val="left"/>
                            </w:pPr>
                            <w:r>
                              <w:rPr>
                                <w:rStyle w:val="CharStyle12"/>
                              </w:rPr>
                              <w:t>Комиссия по г. Москве</w:t>
                            </w:r>
                          </w:p>
                        </w:txbxContent>
                      </wps:txbx>
                      <wps:bodyPr lIns="0" tIns="0" rIns="0" bIns="0">
                        <a:noAutoFit/>
                      </wps:bodyPr>
                    </wps:wsp>
                  </a:graphicData>
                </a:graphic>
              </wp:anchor>
            </w:drawing>
          </mc:Choice>
          <mc:Fallback>
            <w:pict>
              <v:shape id="_x0000_s1034" type="#_x0000_t202" style="position:absolute;margin-left:55.550000000000004pt;margin-top:2.pt;width:104.15000000000001pt;height:48.950000000000003pt;z-index:-125829375;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b/>
                          <w:bCs/>
                          <w:lang w:val="en-US" w:eastAsia="en-US"/>
                        </w:rPr>
                        <w:t>13.05.2026</w:t>
                      </w:r>
                    </w:p>
                    <w:p>
                      <w:pPr>
                        <w:pStyle w:val="Style11"/>
                        <w:keepNext w:val="0"/>
                        <w:keepLines w:val="0"/>
                        <w:widowControl w:val="0"/>
                        <w:shd w:val="clear" w:color="auto" w:fill="auto"/>
                        <w:bidi w:val="0"/>
                        <w:spacing w:before="0" w:after="0" w:line="240" w:lineRule="auto"/>
                        <w:ind w:left="0" w:right="0" w:firstLine="700"/>
                        <w:jc w:val="left"/>
                      </w:pPr>
                      <w:r>
                        <w:rPr>
                          <w:rStyle w:val="CharStyle12"/>
                        </w:rPr>
                        <w:t>Комиссия по г. Москве</w:t>
                      </w:r>
                    </w:p>
                  </w:txbxContent>
                </v:textbox>
                <w10:wrap type="square" side="right" anchorx="page"/>
              </v:shape>
            </w:pict>
          </mc:Fallback>
        </mc:AlternateContent>
      </w:r>
      <w:r>
        <w:rPr>
          <w:rStyle w:val="CharStyle12"/>
          <w:b/>
          <w:bCs/>
        </w:rPr>
        <w:t>г. Москва</w:t>
      </w:r>
    </w:p>
    <w:p>
      <w:pPr>
        <w:pStyle w:val="Style11"/>
        <w:keepNext w:val="0"/>
        <w:keepLines w:val="0"/>
        <w:widowControl w:val="0"/>
        <w:shd w:val="clear" w:color="auto" w:fill="auto"/>
        <w:bidi w:val="0"/>
        <w:spacing w:before="0" w:after="0" w:line="240" w:lineRule="auto"/>
        <w:ind w:left="0" w:right="0" w:firstLine="0"/>
        <w:jc w:val="both"/>
      </w:pPr>
      <w:r>
        <w:rPr>
          <w:rStyle w:val="CharStyle12"/>
        </w:rPr>
        <w:t>Управления Федеральной антимонопольной службы по контролю в сфере закупок товаров, работ, услуг</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(далее </w:t>
      </w:r>
      <w:r>
        <w:rPr>
          <w:rStyle w:val="CharStyle12"/>
          <w:lang w:val="en-US" w:eastAsia="en-US"/>
        </w:rPr>
        <w:t xml:space="preserve">– </w:t>
      </w:r>
      <w:r>
        <w:rPr>
          <w:rStyle w:val="CharStyle12"/>
        </w:rPr>
        <w:t>Комиссия Управления) в составе: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Председательствующего: главного специалиста-эксперта отдела обжалования государственных закупок Е.Д. Мартьяновой,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Члены Комиссии:</w:t>
      </w:r>
    </w:p>
    <w:p>
      <w:pPr>
        <w:pStyle w:val="Style11"/>
        <w:keepNext w:val="0"/>
        <w:keepLines w:val="0"/>
        <w:widowControl w:val="0"/>
        <w:shd w:val="clear" w:color="auto" w:fill="auto"/>
        <w:bidi w:val="0"/>
        <w:spacing w:before="0" w:after="0"/>
        <w:ind w:left="0" w:right="0" w:firstLine="700"/>
        <w:jc w:val="both"/>
      </w:pPr>
      <w:r>
        <w:rPr>
          <w:rStyle w:val="CharStyle12"/>
        </w:rPr>
        <w:t>Главного специалиста-эксперта отдела обжалования государственных закупок М.О. Мацневой,</w:t>
      </w:r>
    </w:p>
    <w:p>
      <w:pPr>
        <w:pStyle w:val="Style11"/>
        <w:keepNext w:val="0"/>
        <w:keepLines w:val="0"/>
        <w:widowControl w:val="0"/>
        <w:shd w:val="clear" w:color="auto" w:fill="auto"/>
        <w:bidi w:val="0"/>
        <w:spacing w:before="0" w:after="0"/>
        <w:ind w:left="0" w:right="0" w:firstLine="700"/>
        <w:jc w:val="both"/>
      </w:pPr>
      <w:r>
        <w:rPr>
          <w:rStyle w:val="CharStyle12"/>
        </w:rPr>
        <w:t>Главного государственного инспектора отдела обжалования государственных закупок А.А. Матюшенко,</w:t>
      </w:r>
    </w:p>
    <w:p>
      <w:pPr>
        <w:pStyle w:val="Style11"/>
        <w:keepNext w:val="0"/>
        <w:keepLines w:val="0"/>
        <w:widowControl w:val="0"/>
        <w:shd w:val="clear" w:color="auto" w:fill="auto"/>
        <w:bidi w:val="0"/>
        <w:spacing w:before="0" w:after="0"/>
        <w:ind w:left="0" w:right="0" w:firstLine="700"/>
        <w:jc w:val="both"/>
      </w:pPr>
      <w:r>
        <w:rPr>
          <w:rStyle w:val="CharStyle12"/>
        </w:rPr>
        <w:t>рассмотрение жалобы проводилось дистанционно (посредством видео-конференц-связи),</w:t>
      </w:r>
    </w:p>
    <w:p>
      <w:pPr>
        <w:pStyle w:val="Style11"/>
        <w:keepNext w:val="0"/>
        <w:keepLines w:val="0"/>
        <w:widowControl w:val="0"/>
        <w:shd w:val="clear" w:color="auto" w:fill="auto"/>
        <w:bidi w:val="0"/>
        <w:spacing w:before="0" w:after="0"/>
        <w:ind w:left="0" w:right="0" w:firstLine="700"/>
        <w:jc w:val="both"/>
      </w:pPr>
      <w:r>
        <w:rPr>
          <w:rStyle w:val="CharStyle12"/>
        </w:rPr>
        <w:t>при участии представителей:</w:t>
      </w:r>
    </w:p>
    <w:p>
      <w:pPr>
        <w:pStyle w:val="Style11"/>
        <w:keepNext w:val="0"/>
        <w:keepLines w:val="0"/>
        <w:widowControl w:val="0"/>
        <w:shd w:val="clear" w:color="auto" w:fill="auto"/>
        <w:bidi w:val="0"/>
        <w:spacing w:before="0" w:after="0"/>
        <w:ind w:left="0" w:right="0" w:firstLine="700"/>
        <w:jc w:val="both"/>
      </w:pPr>
      <w:r>
        <w:rPr>
          <w:rStyle w:val="CharStyle12"/>
        </w:rPr>
        <w:t xml:space="preserve">Управы района Ивановское города Москвы: Бутина С.Н. (дов.№ИВ-15-453/26 от </w:t>
      </w:r>
      <w:r>
        <w:rPr>
          <w:rStyle w:val="CharStyle12"/>
          <w:lang w:val="en-US" w:eastAsia="en-US"/>
        </w:rPr>
        <w:t>12.05.2026),</w:t>
      </w:r>
    </w:p>
    <w:p>
      <w:pPr>
        <w:pStyle w:val="Style11"/>
        <w:keepNext w:val="0"/>
        <w:keepLines w:val="0"/>
        <w:widowControl w:val="0"/>
        <w:shd w:val="clear" w:color="auto" w:fill="auto"/>
        <w:bidi w:val="0"/>
        <w:spacing w:before="0" w:after="0"/>
        <w:ind w:left="0" w:right="0" w:firstLine="700"/>
        <w:jc w:val="both"/>
      </w:pPr>
      <w:r>
        <w:rPr>
          <w:rStyle w:val="CharStyle12"/>
        </w:rPr>
        <w:t xml:space="preserve">ГКУ «Дирекция ЖКХиБ ВАО»: Ломтева И.В. (дов.№19 от </w:t>
      </w:r>
      <w:r>
        <w:rPr>
          <w:rStyle w:val="CharStyle12"/>
          <w:lang w:val="en-US" w:eastAsia="en-US"/>
        </w:rPr>
        <w:t>16.01.2026),</w:t>
      </w:r>
    </w:p>
    <w:p>
      <w:pPr>
        <w:pStyle w:val="Style11"/>
        <w:keepNext w:val="0"/>
        <w:keepLines w:val="0"/>
        <w:widowControl w:val="0"/>
        <w:shd w:val="clear" w:color="auto" w:fill="auto"/>
        <w:bidi w:val="0"/>
        <w:spacing w:before="0" w:after="0"/>
        <w:ind w:left="0" w:right="0" w:firstLine="700"/>
        <w:jc w:val="both"/>
      </w:pPr>
      <w:r>
        <w:rPr>
          <w:rStyle w:val="CharStyle12"/>
        </w:rPr>
        <w:t>в отсутствие представителей ООО «Извор», о времени и порядке заседания Комиссии Управления уведомленных надлежащим образом посредством размещения сведений в Единой информационной системе,</w:t>
      </w:r>
    </w:p>
    <w:p>
      <w:pPr>
        <w:pStyle w:val="Style11"/>
        <w:keepNext w:val="0"/>
        <w:keepLines w:val="0"/>
        <w:widowControl w:val="0"/>
        <w:shd w:val="clear" w:color="auto" w:fill="auto"/>
        <w:bidi w:val="0"/>
        <w:spacing w:before="0" w:after="0"/>
        <w:ind w:left="0" w:right="0" w:firstLine="700"/>
        <w:jc w:val="both"/>
      </w:pPr>
      <w:r>
        <w:rPr>
          <w:rStyle w:val="CharStyle12"/>
        </w:rPr>
        <w:t xml:space="preserve">рассмотрев жалобу ООО «Извор» (далее </w:t>
      </w:r>
      <w:r>
        <w:rPr>
          <w:rStyle w:val="CharStyle12"/>
          <w:lang w:val="en-US" w:eastAsia="en-US"/>
        </w:rPr>
        <w:t xml:space="preserve">— </w:t>
      </w:r>
      <w:r>
        <w:rPr>
          <w:rStyle w:val="CharStyle12"/>
        </w:rPr>
        <w:t xml:space="preserve">Заявитель) на действия Управы района Ивановское города Москвы (далее </w:t>
      </w:r>
      <w:r>
        <w:rPr>
          <w:rStyle w:val="CharStyle12"/>
          <w:lang w:val="en-US" w:eastAsia="en-US"/>
        </w:rPr>
        <w:t xml:space="preserve">- </w:t>
      </w:r>
      <w:r>
        <w:rPr>
          <w:rStyle w:val="CharStyle12"/>
        </w:rPr>
        <w:t xml:space="preserve">Заказчик) при проведении запроса котировок в электронной форме на право заключения государственного контракта на оказание услуг по организации и проведению однодневных автобусных экскурсий для жителей района Ивановское города Москвы в </w:t>
      </w:r>
      <w:r>
        <w:rPr>
          <w:rStyle w:val="CharStyle12"/>
          <w:lang w:val="en-US" w:eastAsia="en-US"/>
        </w:rPr>
        <w:t xml:space="preserve">2026 </w:t>
      </w:r>
      <w:r>
        <w:rPr>
          <w:rStyle w:val="CharStyle12"/>
        </w:rPr>
        <w:t>году в рамках организации досуга</w:t>
      </w:r>
    </w:p>
    <w:p>
      <w:pPr>
        <w:widowControl w:val="0"/>
        <w:spacing w:after="456" w:line="1" w:lineRule="exact"/>
      </w:pPr>
      <w:r>
        <w:drawing>
          <wp:anchor distT="0" distB="0" distL="0" distR="0" simplePos="0" relativeHeight="62914696" behindDoc="1" locked="0" layoutInCell="1" allowOverlap="1">
            <wp:simplePos x="0" y="0"/>
            <wp:positionH relativeFrom="page">
              <wp:posOffset>717550</wp:posOffset>
            </wp:positionH>
            <wp:positionV relativeFrom="paragraph">
              <wp:posOffset>0</wp:posOffset>
            </wp:positionV>
            <wp:extent cx="1511935" cy="292735"/>
            <wp:wrapNone/>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1"/>
                    <a:stretch/>
                  </pic:blipFill>
                  <pic:spPr>
                    <a:xfrm>
                      <a:ext cx="1511935" cy="292735"/>
                    </a:xfrm>
                    <a:prstGeom prst="rect"/>
                  </pic:spPr>
                </pic:pic>
              </a:graphicData>
            </a:graphic>
          </wp:anchor>
        </w:drawing>
      </w:r>
    </w:p>
    <w:p>
      <w:pPr>
        <w:pStyle w:val="Style11"/>
        <w:keepNext w:val="0"/>
        <w:keepLines w:val="0"/>
        <w:widowControl w:val="0"/>
        <w:shd w:val="clear" w:color="auto" w:fill="auto"/>
        <w:bidi w:val="0"/>
        <w:spacing w:before="0" w:after="300"/>
        <w:ind w:left="0" w:right="0" w:firstLine="0"/>
        <w:jc w:val="both"/>
      </w:pPr>
      <w:r>
        <w:rPr>
          <w:rStyle w:val="CharStyle12"/>
        </w:rPr>
        <w:t xml:space="preserve">населения (Закупка </w:t>
      </w:r>
      <w:r>
        <w:rPr>
          <w:rStyle w:val="CharStyle12"/>
          <w:lang w:val="en-US" w:eastAsia="en-US"/>
        </w:rPr>
        <w:t xml:space="preserve">№0373200006226000510) </w:t>
      </w:r>
      <w:r>
        <w:rPr>
          <w:rStyle w:val="CharStyle12"/>
        </w:rPr>
        <w:t xml:space="preserve">(далее </w:t>
      </w:r>
      <w:r>
        <w:rPr>
          <w:rStyle w:val="CharStyle12"/>
          <w:lang w:val="en-US" w:eastAsia="en-US"/>
        </w:rPr>
        <w:t xml:space="preserve">— </w:t>
      </w:r>
      <w:r>
        <w:rPr>
          <w:rStyle w:val="CharStyle12"/>
        </w:rPr>
        <w:t xml:space="preserve">запрос котировок), в соответствии с Федеральным законом от </w:t>
      </w:r>
      <w:r>
        <w:rPr>
          <w:rStyle w:val="CharStyle12"/>
          <w:lang w:val="en-US" w:eastAsia="en-US"/>
        </w:rPr>
        <w:t xml:space="preserve">05.04.2013 </w:t>
      </w:r>
      <w:r>
        <w:rPr>
          <w:rStyle w:val="CharStyle12"/>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Закон о контрактной системе),</w:t>
      </w:r>
    </w:p>
    <w:p>
      <w:pPr>
        <w:pStyle w:val="Style11"/>
        <w:keepNext w:val="0"/>
        <w:keepLines w:val="0"/>
        <w:widowControl w:val="0"/>
        <w:shd w:val="clear" w:color="auto" w:fill="auto"/>
        <w:bidi w:val="0"/>
        <w:spacing w:before="0" w:after="300" w:line="254" w:lineRule="auto"/>
        <w:ind w:left="0" w:right="0" w:firstLine="0"/>
        <w:jc w:val="center"/>
      </w:pPr>
      <w:r>
        <w:rPr>
          <w:rStyle w:val="CharStyle12"/>
          <w:b/>
          <w:bCs/>
        </w:rPr>
        <w:t>УСТАНОВИЛА:</w:t>
      </w:r>
    </w:p>
    <w:p>
      <w:pPr>
        <w:pStyle w:val="Style11"/>
        <w:keepNext w:val="0"/>
        <w:keepLines w:val="0"/>
        <w:widowControl w:val="0"/>
        <w:shd w:val="clear" w:color="auto" w:fill="auto"/>
        <w:bidi w:val="0"/>
        <w:spacing w:before="0" w:after="0" w:line="254" w:lineRule="auto"/>
        <w:ind w:left="0" w:right="0" w:firstLine="720"/>
        <w:jc w:val="both"/>
      </w:pPr>
      <w:r>
        <w:rPr>
          <w:rStyle w:val="CharStyle12"/>
        </w:rPr>
        <w:t>В Московское УФАС России поступила жалоба Заявителя на действия комиссии по осуществлению закупок Заказчика при проведении вышеуказанного запроса котировок.</w:t>
      </w:r>
    </w:p>
    <w:p>
      <w:pPr>
        <w:pStyle w:val="Style11"/>
        <w:keepNext w:val="0"/>
        <w:keepLines w:val="0"/>
        <w:widowControl w:val="0"/>
        <w:shd w:val="clear" w:color="auto" w:fill="auto"/>
        <w:bidi w:val="0"/>
        <w:spacing w:before="0" w:after="0" w:line="254" w:lineRule="auto"/>
        <w:ind w:left="0" w:right="0" w:firstLine="720"/>
        <w:jc w:val="both"/>
      </w:pPr>
      <w:r>
        <w:rPr>
          <w:rStyle w:val="CharStyle12"/>
        </w:rPr>
        <w:t>На заседании Комиссии Управления Заказчиком представлены документы и сведения, запрашиваемые Московским УФАС России.</w:t>
      </w:r>
    </w:p>
    <w:p>
      <w:pPr>
        <w:pStyle w:val="Style11"/>
        <w:keepNext w:val="0"/>
        <w:keepLines w:val="0"/>
        <w:widowControl w:val="0"/>
        <w:shd w:val="clear" w:color="auto" w:fill="auto"/>
        <w:bidi w:val="0"/>
        <w:spacing w:before="0" w:after="0" w:line="254" w:lineRule="auto"/>
        <w:ind w:left="0" w:right="0" w:firstLine="720"/>
        <w:jc w:val="both"/>
      </w:pPr>
      <w:r>
        <w:rPr>
          <w:rStyle w:val="CharStyle12"/>
        </w:rPr>
        <w:t>В результате рассмотрения жалобы, рассмотрев представленные документы и сведения, Комиссия Управления установила следующее.</w:t>
      </w:r>
    </w:p>
    <w:p>
      <w:pPr>
        <w:pStyle w:val="Style11"/>
        <w:keepNext w:val="0"/>
        <w:keepLines w:val="0"/>
        <w:widowControl w:val="0"/>
        <w:shd w:val="clear" w:color="auto" w:fill="auto"/>
        <w:bidi w:val="0"/>
        <w:spacing w:before="0" w:after="0" w:line="254" w:lineRule="auto"/>
        <w:ind w:left="0" w:right="0" w:firstLine="720"/>
        <w:jc w:val="both"/>
      </w:pPr>
      <w:r>
        <w:rPr>
          <w:rStyle w:val="CharStyle12"/>
        </w:rPr>
        <w:t>В составе жалобы Заявитель укатывает, что комиссией по осуществлению закупок Заказчика нарушены нормы Закона о контрактной системе в результате отклонения заявки участника закупки ООО «Извор».</w:t>
      </w:r>
    </w:p>
    <w:p>
      <w:pPr>
        <w:pStyle w:val="Style11"/>
        <w:keepNext w:val="0"/>
        <w:keepLines w:val="0"/>
        <w:widowControl w:val="0"/>
        <w:shd w:val="clear" w:color="auto" w:fill="auto"/>
        <w:bidi w:val="0"/>
        <w:spacing w:before="0" w:after="0" w:line="254" w:lineRule="auto"/>
        <w:ind w:left="0" w:right="0" w:firstLine="720"/>
        <w:jc w:val="both"/>
      </w:pPr>
      <w:r>
        <w:rPr>
          <w:rStyle w:val="CharStyle12"/>
        </w:rPr>
        <w:t xml:space="preserve">Согласно протоколу подведения итогов определения поставщика (подрядчика, исполнителя) от </w:t>
      </w:r>
      <w:r>
        <w:rPr>
          <w:rStyle w:val="CharStyle12"/>
          <w:lang w:val="en-US" w:eastAsia="en-US"/>
        </w:rPr>
        <w:t xml:space="preserve">06.05.2026 </w:t>
      </w:r>
      <w:r>
        <w:rPr>
          <w:rStyle w:val="CharStyle12"/>
        </w:rPr>
        <w:t xml:space="preserve">№ИЗК1 заявка участника закупки ООО «Извор», с идентификационным номером </w:t>
      </w:r>
      <w:r>
        <w:rPr>
          <w:rStyle w:val="CharStyle12"/>
          <w:lang w:val="en-US" w:eastAsia="en-US"/>
        </w:rPr>
        <w:t xml:space="preserve">3172373, </w:t>
      </w:r>
      <w:r>
        <w:rPr>
          <w:rStyle w:val="CharStyle12"/>
        </w:rPr>
        <w:t>отклонена комиссией по осуществлению закупок Заказчика на следующем основании: «</w:t>
      </w:r>
      <w:r>
        <w:rPr>
          <w:rStyle w:val="CharStyle12"/>
          <w:i/>
          <w:iCs/>
        </w:rPr>
        <w:t xml:space="preserve">Отклонить заявку на участие в закупке по п.3 ч.12 ст.48 №44-ФЗ «Несоответствие участника закупки требованиям, установленным в извещении об осуществлении закупки в соответствии с ч. </w:t>
      </w:r>
      <w:r>
        <w:rPr>
          <w:rStyle w:val="CharStyle12"/>
          <w:i/>
          <w:iCs/>
          <w:lang w:val="en-US" w:eastAsia="en-US"/>
        </w:rPr>
        <w:t xml:space="preserve">1 </w:t>
      </w:r>
      <w:r>
        <w:rPr>
          <w:rStyle w:val="CharStyle12"/>
          <w:i/>
          <w:iCs/>
        </w:rPr>
        <w:t xml:space="preserve">с. </w:t>
      </w:r>
      <w:r>
        <w:rPr>
          <w:rStyle w:val="CharStyle12"/>
          <w:i/>
          <w:iCs/>
          <w:lang w:val="en-US" w:eastAsia="en-US"/>
        </w:rPr>
        <w:t xml:space="preserve">31 </w:t>
      </w:r>
      <w:r>
        <w:rPr>
          <w:rStyle w:val="CharStyle12"/>
          <w:i/>
          <w:iCs/>
        </w:rPr>
        <w:t xml:space="preserve">44-ФЗ, требованиям, установленным в извещении об осуществлении закупки в соответствии с ч.ч. </w:t>
      </w:r>
      <w:r>
        <w:rPr>
          <w:rStyle w:val="CharStyle12"/>
          <w:i/>
          <w:iCs/>
          <w:lang w:val="en-US" w:eastAsia="en-US"/>
        </w:rPr>
        <w:t xml:space="preserve">1.1, 2 </w:t>
      </w:r>
      <w:r>
        <w:rPr>
          <w:rStyle w:val="CharStyle12"/>
          <w:i/>
          <w:iCs/>
        </w:rPr>
        <w:t xml:space="preserve">и </w:t>
      </w:r>
      <w:r>
        <w:rPr>
          <w:rStyle w:val="CharStyle12"/>
          <w:i/>
          <w:iCs/>
          <w:lang w:val="en-US" w:eastAsia="en-US"/>
        </w:rPr>
        <w:t xml:space="preserve">2.1 </w:t>
      </w:r>
      <w:r>
        <w:rPr>
          <w:rStyle w:val="CharStyle12"/>
          <w:i/>
          <w:iCs/>
        </w:rPr>
        <w:t xml:space="preserve">(при наличии таких требований) ст. </w:t>
      </w:r>
      <w:r>
        <w:rPr>
          <w:rStyle w:val="CharStyle12"/>
          <w:i/>
          <w:iCs/>
          <w:lang w:val="en-US" w:eastAsia="en-US"/>
        </w:rPr>
        <w:t xml:space="preserve">31 </w:t>
      </w:r>
      <w:r>
        <w:rPr>
          <w:rStyle w:val="CharStyle12"/>
          <w:i/>
          <w:iCs/>
        </w:rPr>
        <w:t>44-ФЗ»</w:t>
      </w:r>
    </w:p>
    <w:p>
      <w:pPr>
        <w:pStyle w:val="Style11"/>
        <w:keepNext w:val="0"/>
        <w:keepLines w:val="0"/>
        <w:widowControl w:val="0"/>
        <w:shd w:val="clear" w:color="auto" w:fill="auto"/>
        <w:bidi w:val="0"/>
        <w:spacing w:before="0" w:after="0" w:line="254" w:lineRule="auto"/>
        <w:ind w:left="0" w:right="0" w:firstLine="820"/>
        <w:jc w:val="both"/>
      </w:pPr>
      <w:r>
        <w:rPr>
          <w:rStyle w:val="CharStyle12"/>
          <w:i/>
          <w:iCs/>
        </w:rPr>
        <w:t xml:space="preserve">В заявке, предоставленной участником закупки, отсутствуют документы (или копии таких документов) или сведения, подтверждающие соответствие участника требованиям, установленным в соответствии с п. </w:t>
      </w:r>
      <w:r>
        <w:rPr>
          <w:rStyle w:val="CharStyle12"/>
          <w:i/>
          <w:iCs/>
          <w:lang w:val="en-US" w:eastAsia="en-US"/>
        </w:rPr>
        <w:t xml:space="preserve">1 </w:t>
      </w:r>
      <w:r>
        <w:rPr>
          <w:rStyle w:val="CharStyle12"/>
          <w:i/>
          <w:iCs/>
        </w:rPr>
        <w:t xml:space="preserve">ч. </w:t>
      </w:r>
      <w:r>
        <w:rPr>
          <w:rStyle w:val="CharStyle12"/>
          <w:i/>
          <w:iCs/>
          <w:lang w:val="en-US" w:eastAsia="en-US"/>
        </w:rPr>
        <w:t xml:space="preserve">1 </w:t>
      </w:r>
      <w:r>
        <w:rPr>
          <w:rStyle w:val="CharStyle12"/>
          <w:i/>
          <w:iCs/>
        </w:rPr>
        <w:t xml:space="preserve">ст. </w:t>
      </w:r>
      <w:r>
        <w:rPr>
          <w:rStyle w:val="CharStyle12"/>
          <w:i/>
          <w:iCs/>
          <w:lang w:val="en-US" w:eastAsia="en-US"/>
        </w:rPr>
        <w:t xml:space="preserve">31 </w:t>
      </w:r>
      <w:r>
        <w:rPr>
          <w:rStyle w:val="CharStyle12"/>
          <w:i/>
          <w:iCs/>
        </w:rPr>
        <w:t xml:space="preserve">(при наличии таких требований) Закона о контрактной системе Соответствие участника электронного аукциона требованию пункта </w:t>
      </w:r>
      <w:r>
        <w:rPr>
          <w:rStyle w:val="CharStyle12"/>
          <w:i/>
          <w:iCs/>
          <w:lang w:val="en-US" w:eastAsia="en-US"/>
        </w:rPr>
        <w:t xml:space="preserve">24 </w:t>
      </w:r>
      <w:r>
        <w:rPr>
          <w:rStyle w:val="CharStyle12"/>
          <w:i/>
          <w:iCs/>
        </w:rPr>
        <w:t xml:space="preserve">части </w:t>
      </w:r>
      <w:r>
        <w:rPr>
          <w:rStyle w:val="CharStyle12"/>
          <w:i/>
          <w:iCs/>
          <w:lang w:val="en-US" w:eastAsia="en-US"/>
        </w:rPr>
        <w:t xml:space="preserve">1 </w:t>
      </w:r>
      <w:r>
        <w:rPr>
          <w:rStyle w:val="CharStyle12"/>
          <w:i/>
          <w:iCs/>
        </w:rPr>
        <w:t xml:space="preserve">статьи 12Федерального закона от </w:t>
      </w:r>
      <w:r>
        <w:rPr>
          <w:rStyle w:val="CharStyle12"/>
          <w:i/>
          <w:iCs/>
          <w:lang w:val="en-US" w:eastAsia="en-US"/>
        </w:rPr>
        <w:t xml:space="preserve">04.05.2011 № </w:t>
      </w:r>
      <w:r>
        <w:rPr>
          <w:rStyle w:val="CharStyle12"/>
          <w:i/>
          <w:iCs/>
        </w:rPr>
        <w:t>99-ФЗ «О лицензировании отдельных видов деятельности», а именно: лицензия (или копия лицензии) на деятельность по перевозкам пассажиров и иных лиц автобусами.</w:t>
      </w:r>
      <w:r>
        <w:rPr>
          <w:rStyle w:val="CharStyle12"/>
        </w:rPr>
        <w:t>».</w:t>
      </w:r>
    </w:p>
    <w:p>
      <w:pPr>
        <w:pStyle w:val="Style11"/>
        <w:keepNext w:val="0"/>
        <w:keepLines w:val="0"/>
        <w:widowControl w:val="0"/>
        <w:shd w:val="clear" w:color="auto" w:fill="auto"/>
        <w:bidi w:val="0"/>
        <w:spacing w:before="0" w:after="0" w:line="254" w:lineRule="auto"/>
        <w:ind w:left="0" w:right="0" w:firstLine="720"/>
        <w:jc w:val="both"/>
      </w:pPr>
      <w:r>
        <w:rPr>
          <w:rStyle w:val="CharStyle12"/>
        </w:rPr>
        <w:t>Согласно ч.1 ст.49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11"/>
        <w:keepNext w:val="0"/>
        <w:keepLines w:val="0"/>
        <w:widowControl w:val="0"/>
        <w:shd w:val="clear" w:color="auto" w:fill="auto"/>
        <w:bidi w:val="0"/>
        <w:spacing w:before="0" w:after="300" w:line="254" w:lineRule="auto"/>
        <w:ind w:left="0" w:right="0" w:firstLine="720"/>
        <w:jc w:val="both"/>
      </w:pPr>
      <w:r>
        <w:rPr>
          <w:rStyle w:val="CharStyle12"/>
        </w:rPr>
        <w:t xml:space="preserve">В силу п.24 ч.1 ст.12 Федерального закона «О лицензировании отдельных видов деятельности» от </w:t>
      </w:r>
      <w:r>
        <w:rPr>
          <w:rStyle w:val="CharStyle12"/>
          <w:lang w:val="en-US" w:eastAsia="en-US"/>
        </w:rPr>
        <w:t xml:space="preserve">04.05.2011 </w:t>
      </w:r>
      <w:r>
        <w:rPr>
          <w:rStyle w:val="CharStyle12"/>
        </w:rPr>
        <w:t xml:space="preserve">№99-ФЗ (далее </w:t>
      </w:r>
      <w:r>
        <w:rPr>
          <w:rStyle w:val="CharStyle12"/>
          <w:lang w:val="en-US" w:eastAsia="en-US"/>
        </w:rPr>
        <w:t xml:space="preserve">- </w:t>
      </w:r>
      <w:r>
        <w:rPr>
          <w:rStyle w:val="CharStyle12"/>
        </w:rPr>
        <w:t>Закон о лицензировании)</w:t>
      </w:r>
    </w:p>
    <w:p>
      <w:pPr>
        <w:pStyle w:val="Style11"/>
        <w:keepNext w:val="0"/>
        <w:keepLines w:val="0"/>
        <w:widowControl w:val="0"/>
        <w:shd w:val="clear" w:color="auto" w:fill="auto"/>
        <w:bidi w:val="0"/>
        <w:spacing w:before="0" w:after="0" w:line="259" w:lineRule="auto"/>
        <w:ind w:left="0" w:right="0" w:firstLine="0"/>
        <w:jc w:val="both"/>
      </w:pPr>
      <w:r>
        <w:rPr>
          <w:rStyle w:val="CharStyle12"/>
        </w:rPr>
        <w:t>лицензированию подлежат такой вид деятельности как деятельность по перевозкам пассажиров и иных лиц автобусами.</w:t>
      </w:r>
    </w:p>
    <w:p>
      <w:pPr>
        <w:pStyle w:val="Style11"/>
        <w:keepNext w:val="0"/>
        <w:keepLines w:val="0"/>
        <w:widowControl w:val="0"/>
        <w:shd w:val="clear" w:color="auto" w:fill="auto"/>
        <w:bidi w:val="0"/>
        <w:spacing w:before="0" w:after="0" w:line="259" w:lineRule="auto"/>
        <w:ind w:left="0" w:right="0" w:firstLine="700"/>
        <w:jc w:val="both"/>
      </w:pPr>
      <w:r>
        <w:rPr>
          <w:rStyle w:val="CharStyle12"/>
        </w:rPr>
        <w:t xml:space="preserve">Согласно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п.4, </w:t>
      </w:r>
      <w:r>
        <w:rPr>
          <w:rStyle w:val="CharStyle12"/>
          <w:lang w:val="en-US" w:eastAsia="en-US"/>
        </w:rPr>
        <w:t xml:space="preserve">5, 18, 30, 42, 49, 54 </w:t>
      </w:r>
      <w:r>
        <w:rPr>
          <w:rStyle w:val="CharStyle12"/>
        </w:rPr>
        <w:t xml:space="preserve">и </w:t>
      </w:r>
      <w:r>
        <w:rPr>
          <w:rStyle w:val="CharStyle12"/>
          <w:lang w:val="en-US" w:eastAsia="en-US"/>
        </w:rPr>
        <w:t xml:space="preserve">59 </w:t>
      </w:r>
      <w:r>
        <w:rPr>
          <w:rStyle w:val="CharStyle12"/>
        </w:rPr>
        <w:t>ч.1 ст.93 Закона о контрактной системе,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1"/>
        <w:keepNext w:val="0"/>
        <w:keepLines w:val="0"/>
        <w:widowControl w:val="0"/>
        <w:shd w:val="clear" w:color="auto" w:fill="auto"/>
        <w:bidi w:val="0"/>
        <w:spacing w:before="0" w:after="0" w:line="259" w:lineRule="auto"/>
        <w:ind w:left="0" w:right="0" w:firstLine="700"/>
        <w:jc w:val="both"/>
      </w:pPr>
      <w:r>
        <w:rPr>
          <w:rStyle w:val="CharStyle12"/>
        </w:rPr>
        <w:t xml:space="preserve">П.12 ч.1 ст.42 Закона о контрактной системе определено, что извещение об осуществлении закупки, должно содержать требования, предъявляемые к участникам закупки в соответствии с ч.1 ст.31 Закона о контрактной системе, требования, предъявляемые к участникам закупки в соответствии с ч.2 и </w:t>
      </w:r>
      <w:r>
        <w:rPr>
          <w:rStyle w:val="CharStyle12"/>
          <w:lang w:val="en-US" w:eastAsia="en-US"/>
        </w:rPr>
        <w:t xml:space="preserve">2.1 </w:t>
      </w:r>
      <w:r>
        <w:rPr>
          <w:rStyle w:val="CharStyle12"/>
        </w:rPr>
        <w:t xml:space="preserve">(при наличии таких требований) ст.31 Закона о контрактной системе,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ч.1.1 ст. </w:t>
      </w:r>
      <w:r>
        <w:rPr>
          <w:rStyle w:val="CharStyle12"/>
          <w:lang w:val="en-US" w:eastAsia="en-US"/>
        </w:rPr>
        <w:t xml:space="preserve">31 </w:t>
      </w:r>
      <w:r>
        <w:rPr>
          <w:rStyle w:val="CharStyle12"/>
        </w:rPr>
        <w:t>Закона о контрактной системе (при наличии такого требования).</w:t>
      </w:r>
    </w:p>
    <w:p>
      <w:pPr>
        <w:pStyle w:val="Style11"/>
        <w:keepNext w:val="0"/>
        <w:keepLines w:val="0"/>
        <w:widowControl w:val="0"/>
        <w:shd w:val="clear" w:color="auto" w:fill="auto"/>
        <w:bidi w:val="0"/>
        <w:spacing w:before="0" w:after="0" w:line="259" w:lineRule="auto"/>
        <w:ind w:left="0" w:right="0" w:firstLine="700"/>
        <w:jc w:val="both"/>
      </w:pPr>
      <w:r>
        <w:rPr>
          <w:rStyle w:val="CharStyle12"/>
        </w:rPr>
        <w:t xml:space="preserve">Согласно ч.5 ст.31 Закона о контрактной системе информация об установленных требованиях в соответствии с ч.1, </w:t>
      </w:r>
      <w:r>
        <w:rPr>
          <w:rStyle w:val="CharStyle12"/>
          <w:lang w:val="en-US" w:eastAsia="en-US"/>
        </w:rPr>
        <w:t xml:space="preserve">1.1, 2 </w:t>
      </w:r>
      <w:r>
        <w:rPr>
          <w:rStyle w:val="CharStyle12"/>
        </w:rPr>
        <w:t xml:space="preserve">и </w:t>
      </w:r>
      <w:r>
        <w:rPr>
          <w:rStyle w:val="CharStyle12"/>
          <w:lang w:val="en-US" w:eastAsia="en-US"/>
        </w:rPr>
        <w:t xml:space="preserve">2.1 </w:t>
      </w:r>
      <w:r>
        <w:rPr>
          <w:rStyle w:val="CharStyle12"/>
        </w:rPr>
        <w:t>ст.31 Закона о контрактной системе указывается заказчиком в извещении об осуществлении закупки и документации о закупке (в случае, если Законом о контрактной системе предусмотрена документация о закупке).</w:t>
      </w:r>
    </w:p>
    <w:p>
      <w:pPr>
        <w:pStyle w:val="Style11"/>
        <w:keepNext w:val="0"/>
        <w:keepLines w:val="0"/>
        <w:widowControl w:val="0"/>
        <w:shd w:val="clear" w:color="auto" w:fill="auto"/>
        <w:bidi w:val="0"/>
        <w:spacing w:before="0" w:after="0" w:line="259" w:lineRule="auto"/>
        <w:ind w:left="0" w:right="0" w:firstLine="700"/>
        <w:jc w:val="both"/>
      </w:pPr>
      <w:r>
        <w:rPr>
          <w:rStyle w:val="CharStyle12"/>
        </w:rPr>
        <w:t>Комиссией Управления установлено, что в извещения об осуществлении закупки Заказчиком установлены следующие требования к участникам закупки, в соответствии со ст.31 Закона о контрактной системе: «</w:t>
      </w:r>
      <w:r>
        <w:rPr>
          <w:rStyle w:val="CharStyle12"/>
          <w:i/>
          <w:iCs/>
        </w:rPr>
        <w:t xml:space="preserve">Соответствие участника электронного запроса котировок требованию пункта </w:t>
      </w:r>
      <w:r>
        <w:rPr>
          <w:rStyle w:val="CharStyle12"/>
          <w:i/>
          <w:iCs/>
          <w:lang w:val="en-US" w:eastAsia="en-US"/>
        </w:rPr>
        <w:t xml:space="preserve">24 </w:t>
      </w:r>
      <w:r>
        <w:rPr>
          <w:rStyle w:val="CharStyle12"/>
          <w:i/>
          <w:iCs/>
        </w:rPr>
        <w:t xml:space="preserve">части </w:t>
      </w:r>
      <w:r>
        <w:rPr>
          <w:rStyle w:val="CharStyle12"/>
          <w:i/>
          <w:iCs/>
          <w:lang w:val="en-US" w:eastAsia="en-US"/>
        </w:rPr>
        <w:t xml:space="preserve">1 </w:t>
      </w:r>
      <w:r>
        <w:rPr>
          <w:rStyle w:val="CharStyle12"/>
          <w:i/>
          <w:iCs/>
        </w:rPr>
        <w:t xml:space="preserve">статьи </w:t>
      </w:r>
      <w:r>
        <w:rPr>
          <w:rStyle w:val="CharStyle12"/>
          <w:i/>
          <w:iCs/>
          <w:lang w:val="en-US" w:eastAsia="en-US"/>
        </w:rPr>
        <w:t xml:space="preserve">12 </w:t>
      </w:r>
      <w:r>
        <w:rPr>
          <w:rStyle w:val="CharStyle12"/>
          <w:i/>
          <w:iCs/>
        </w:rPr>
        <w:t xml:space="preserve">Федерального закона от </w:t>
      </w:r>
      <w:r>
        <w:rPr>
          <w:rStyle w:val="CharStyle12"/>
          <w:i/>
          <w:iCs/>
          <w:lang w:val="en-US" w:eastAsia="en-US"/>
        </w:rPr>
        <w:t xml:space="preserve">04.05.2011 № </w:t>
      </w:r>
      <w:r>
        <w:rPr>
          <w:rStyle w:val="CharStyle12"/>
          <w:i/>
          <w:iCs/>
        </w:rPr>
        <w:t>99-ФЗ «О лицензировании отдельных видов деятельности», лицензия на деятельность по перевозкам пассажиров и иных лиц автобусами</w:t>
      </w:r>
      <w:r>
        <w:rPr>
          <w:rStyle w:val="CharStyle12"/>
        </w:rPr>
        <w:t>».</w:t>
      </w:r>
    </w:p>
    <w:p>
      <w:pPr>
        <w:pStyle w:val="Style11"/>
        <w:keepNext w:val="0"/>
        <w:keepLines w:val="0"/>
        <w:widowControl w:val="0"/>
        <w:shd w:val="clear" w:color="auto" w:fill="auto"/>
        <w:bidi w:val="0"/>
        <w:spacing w:before="0" w:after="0" w:line="259" w:lineRule="auto"/>
        <w:ind w:left="0" w:right="0" w:firstLine="700"/>
        <w:jc w:val="both"/>
      </w:pPr>
      <w:r>
        <w:rPr>
          <w:rStyle w:val="CharStyle12"/>
        </w:rPr>
        <w:t>Согласно п.3 ч.2 ст.42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1"/>
        <w:keepNext w:val="0"/>
        <w:keepLines w:val="0"/>
        <w:widowControl w:val="0"/>
        <w:shd w:val="clear" w:color="auto" w:fill="auto"/>
        <w:bidi w:val="0"/>
        <w:spacing w:before="0" w:after="0" w:line="259" w:lineRule="auto"/>
        <w:ind w:left="0" w:right="0" w:firstLine="700"/>
        <w:jc w:val="both"/>
        <w:sectPr>
          <w:footnotePr>
            <w:pos w:val="pageBottom"/>
            <w:numFmt w:val="decimal"/>
            <w:numRestart w:val="continuous"/>
          </w:footnotePr>
          <w:type w:val="continuous"/>
          <w:pgSz w:w="11900" w:h="16840"/>
          <w:pgMar w:top="631" w:right="538" w:bottom="1002" w:left="1090" w:header="0" w:footer="3" w:gutter="0"/>
          <w:cols w:space="720"/>
          <w:noEndnote/>
          <w:rtlGutter w:val="0"/>
          <w:docGrid w:linePitch="360"/>
        </w:sectPr>
      </w:pPr>
      <w:r>
        <w:rPr>
          <w:rStyle w:val="CharStyle12"/>
        </w:rPr>
        <w:t xml:space="preserve">Согласно ч.1 ст.50 Закона о контрактной системе электронный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пп.«м» </w:t>
      </w:r>
      <w:r>
        <w:rPr>
          <w:rStyle w:val="CharStyle12"/>
          <w:lang w:val="en-US" w:eastAsia="en-US"/>
        </w:rPr>
        <w:t xml:space="preserve">- </w:t>
      </w:r>
      <w:r>
        <w:rPr>
          <w:rStyle w:val="CharStyle12"/>
        </w:rPr>
        <w:t xml:space="preserve">«п» п.1, пп.«а» </w:t>
      </w:r>
      <w:r>
        <w:rPr>
          <w:rStyle w:val="CharStyle12"/>
          <w:lang w:val="en-US" w:eastAsia="en-US"/>
        </w:rPr>
        <w:t xml:space="preserve">- </w:t>
      </w:r>
      <w:r>
        <w:rPr>
          <w:rStyle w:val="CharStyle12"/>
        </w:rPr>
        <w:t>«в» п.2, п.3 или п.4, п.5 ч.1 ст.43 Закона о контрактной системе. Заявка также</w:t>
      </w:r>
    </w:p>
    <w:p>
      <w:pPr>
        <w:pStyle w:val="Style11"/>
        <w:keepNext w:val="0"/>
        <w:keepLines w:val="0"/>
        <w:widowControl w:val="0"/>
        <w:shd w:val="clear" w:color="auto" w:fill="auto"/>
        <w:bidi w:val="0"/>
        <w:spacing w:before="0" w:after="0" w:line="259" w:lineRule="auto"/>
        <w:ind w:left="0" w:right="0" w:firstLine="0"/>
        <w:jc w:val="both"/>
      </w:pPr>
      <w:r>
        <w:rPr>
          <w:rStyle w:val="CharStyle12"/>
        </w:rPr>
        <w:t>может содержать информацию и документы, предусмотренные пп.«д» п.2 ч.1 ст.43 Закона о контрактной системе.</w:t>
      </w:r>
    </w:p>
    <w:p>
      <w:pPr>
        <w:pStyle w:val="Style11"/>
        <w:keepNext w:val="0"/>
        <w:keepLines w:val="0"/>
        <w:widowControl w:val="0"/>
        <w:shd w:val="clear" w:color="auto" w:fill="auto"/>
        <w:bidi w:val="0"/>
        <w:spacing w:before="0" w:after="0" w:line="259" w:lineRule="auto"/>
        <w:ind w:left="0" w:right="0" w:firstLine="720"/>
        <w:jc w:val="both"/>
      </w:pPr>
      <w:r>
        <w:rPr>
          <w:rStyle w:val="CharStyle12"/>
        </w:rPr>
        <w:t xml:space="preserve">В соответствии с пп.«н» п.1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которые подтверждают соответствие участника закупки требованиям, установленным п.1 ч.1 ст.31 Закона о контрактной системе (могут не включаться в заявку на участие в закупке в случае, если указанные информация и документы содержатся в открытых и общедоступных государственных реестрах, размещенных в информационно-телекоммуникационной сети «Интернет», и в такую заявку включена предусмотренная пп.«о» п.1 ч.1 ст.43 Закона о контрактной системе декларация о соответствии участника закупки требованиям, установленным п.1 ч.1 ст.31 Закона о контрактной системе), информацию и документы, которые подтверждают соответствие участника закупки дополнительным требованиям, установленным в соответствии с ч.2 и </w:t>
      </w:r>
      <w:r>
        <w:rPr>
          <w:rStyle w:val="CharStyle12"/>
          <w:lang w:val="en-US" w:eastAsia="en-US"/>
        </w:rPr>
        <w:t xml:space="preserve">2.1 </w:t>
      </w:r>
      <w:r>
        <w:rPr>
          <w:rStyle w:val="CharStyle12"/>
        </w:rPr>
        <w:t>(при наличии таких требований) ст.31 Закона о контрактной системе, если иное не предусмотрено настоящим Федеральным законом.</w:t>
      </w:r>
    </w:p>
    <w:p>
      <w:pPr>
        <w:pStyle w:val="Style11"/>
        <w:keepNext w:val="0"/>
        <w:keepLines w:val="0"/>
        <w:widowControl w:val="0"/>
        <w:shd w:val="clear" w:color="auto" w:fill="auto"/>
        <w:bidi w:val="0"/>
        <w:spacing w:before="0" w:after="0" w:line="259" w:lineRule="auto"/>
        <w:ind w:left="0" w:right="0" w:firstLine="720"/>
        <w:jc w:val="both"/>
      </w:pPr>
      <w:r>
        <w:rPr>
          <w:rStyle w:val="CharStyle12"/>
        </w:rPr>
        <w:t>Комиссией Управления установлено, что в электронном документе «Требования к содержанию, составу заявки на участие в закупке», Заказчиком установлено в том числе следующее требование к составу заявки на участие в закупке: «</w:t>
      </w:r>
      <w:r>
        <w:rPr>
          <w:rStyle w:val="CharStyle12"/>
          <w:i/>
          <w:iCs/>
        </w:rPr>
        <w:t xml:space="preserve">Документы, подтверждающие соответствие участника закупки требования согласно п.1 ч.1 ст.31 Закона </w:t>
      </w:r>
      <w:r>
        <w:rPr>
          <w:rStyle w:val="CharStyle12"/>
          <w:i/>
          <w:iCs/>
          <w:lang w:val="en-US" w:eastAsia="en-US"/>
        </w:rPr>
        <w:t xml:space="preserve">№ </w:t>
      </w:r>
      <w:r>
        <w:rPr>
          <w:rStyle w:val="CharStyle12"/>
          <w:i/>
          <w:iCs/>
        </w:rPr>
        <w:t xml:space="preserve">44-ФЗ: лицензия на деятельность по перевозкам пассажиров и иных лиц автобусами в соответствии с пунктом </w:t>
      </w:r>
      <w:r>
        <w:rPr>
          <w:rStyle w:val="CharStyle12"/>
          <w:i/>
          <w:iCs/>
          <w:lang w:val="en-US" w:eastAsia="en-US"/>
        </w:rPr>
        <w:t xml:space="preserve">24 </w:t>
      </w:r>
      <w:r>
        <w:rPr>
          <w:rStyle w:val="CharStyle12"/>
          <w:i/>
          <w:iCs/>
        </w:rPr>
        <w:t xml:space="preserve">части </w:t>
      </w:r>
      <w:r>
        <w:rPr>
          <w:rStyle w:val="CharStyle12"/>
          <w:i/>
          <w:iCs/>
          <w:lang w:val="en-US" w:eastAsia="en-US"/>
        </w:rPr>
        <w:t xml:space="preserve">1 </w:t>
      </w:r>
      <w:r>
        <w:rPr>
          <w:rStyle w:val="CharStyle12"/>
          <w:i/>
          <w:iCs/>
        </w:rPr>
        <w:t xml:space="preserve">статьи </w:t>
      </w:r>
      <w:r>
        <w:rPr>
          <w:rStyle w:val="CharStyle12"/>
          <w:i/>
          <w:iCs/>
          <w:lang w:val="en-US" w:eastAsia="en-US"/>
        </w:rPr>
        <w:t xml:space="preserve">12 </w:t>
      </w:r>
      <w:r>
        <w:rPr>
          <w:rStyle w:val="CharStyle12"/>
          <w:i/>
          <w:iCs/>
        </w:rPr>
        <w:t xml:space="preserve">Федерального закона от </w:t>
      </w:r>
      <w:r>
        <w:rPr>
          <w:rStyle w:val="CharStyle12"/>
          <w:i/>
          <w:iCs/>
          <w:lang w:val="en-US" w:eastAsia="en-US"/>
        </w:rPr>
        <w:t xml:space="preserve">04.05.2011 № </w:t>
      </w:r>
      <w:r>
        <w:rPr>
          <w:rStyle w:val="CharStyle12"/>
          <w:i/>
          <w:iCs/>
        </w:rPr>
        <w:t>99-ФЗ «О лицензировании отдельных видов деятельности»</w:t>
      </w:r>
      <w:r>
        <w:rPr>
          <w:rStyle w:val="CharStyle12"/>
        </w:rPr>
        <w:t>».</w:t>
      </w:r>
    </w:p>
    <w:p>
      <w:pPr>
        <w:pStyle w:val="Style11"/>
        <w:keepNext w:val="0"/>
        <w:keepLines w:val="0"/>
        <w:widowControl w:val="0"/>
        <w:shd w:val="clear" w:color="auto" w:fill="auto"/>
        <w:bidi w:val="0"/>
        <w:spacing w:before="0" w:after="0" w:line="259" w:lineRule="auto"/>
        <w:ind w:left="0" w:right="0" w:firstLine="720"/>
        <w:jc w:val="both"/>
      </w:pPr>
      <w:r>
        <w:rPr>
          <w:rStyle w:val="CharStyle12"/>
        </w:rPr>
        <w:t xml:space="preserve">Согласно пп.«а» п.1 ч.3 ст.50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ч.2 ст.50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 </w:t>
      </w:r>
      <w:r>
        <w:rPr>
          <w:rStyle w:val="CharStyle12"/>
          <w:lang w:val="en-US" w:eastAsia="en-US"/>
        </w:rPr>
        <w:t xml:space="preserve">- 8 </w:t>
      </w:r>
      <w:r>
        <w:rPr>
          <w:rStyle w:val="CharStyle12"/>
        </w:rPr>
        <w:t>ч.12 ст.48 Закона о контрактной системе.</w:t>
      </w:r>
    </w:p>
    <w:p>
      <w:pPr>
        <w:pStyle w:val="Style11"/>
        <w:keepNext w:val="0"/>
        <w:keepLines w:val="0"/>
        <w:widowControl w:val="0"/>
        <w:shd w:val="clear" w:color="auto" w:fill="auto"/>
        <w:bidi w:val="0"/>
        <w:spacing w:before="0" w:after="0" w:line="259" w:lineRule="auto"/>
        <w:ind w:left="0" w:right="0" w:firstLine="720"/>
        <w:jc w:val="both"/>
      </w:pPr>
      <w:r>
        <w:rPr>
          <w:rStyle w:val="CharStyle12"/>
        </w:rPr>
        <w:t>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11"/>
        <w:keepNext w:val="0"/>
        <w:keepLines w:val="0"/>
        <w:widowControl w:val="0"/>
        <w:numPr>
          <w:ilvl w:val="0"/>
          <w:numId w:val="1"/>
        </w:numPr>
        <w:shd w:val="clear" w:color="auto" w:fill="auto"/>
        <w:tabs>
          <w:tab w:pos="1416" w:val="left"/>
        </w:tabs>
        <w:bidi w:val="0"/>
        <w:spacing w:before="0" w:after="0" w:line="266" w:lineRule="auto"/>
        <w:ind w:left="0" w:right="0" w:firstLine="720"/>
        <w:jc w:val="both"/>
        <w:rPr>
          <w:sz w:val="24"/>
          <w:szCs w:val="24"/>
        </w:rPr>
        <w:sectPr>
          <w:headerReference w:type="default" r:id="rId13"/>
          <w:footerReference w:type="default" r:id="rId14"/>
          <w:footnotePr>
            <w:pos w:val="pageBottom"/>
            <w:numFmt w:val="decimal"/>
            <w:numRestart w:val="continuous"/>
          </w:footnotePr>
          <w:pgSz w:w="11900" w:h="16840"/>
          <w:pgMar w:top="1162" w:right="541" w:bottom="687" w:left="1092" w:header="0" w:footer="259" w:gutter="0"/>
          <w:cols w:space="720"/>
          <w:noEndnote/>
          <w:rtlGutter w:val="0"/>
          <w:docGrid w:linePitch="360"/>
        </w:sectPr>
      </w:pPr>
      <w:r>
        <w:rPr>
          <w:rStyle w:val="CharStyle12"/>
        </w:rPr>
        <w:t xml:space="preserve">непредставления (за исключением случаев, предусмотренных Законом о контрактной системе)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w:t>
      </w:r>
      <w:r>
        <w:rPr>
          <w:rStyle w:val="CharStyle12"/>
          <w:sz w:val="24"/>
          <w:szCs w:val="24"/>
          <w:lang w:val="en-US" w:eastAsia="en-US"/>
        </w:rPr>
        <w:t>2026-24192</w:t>
      </w:r>
    </w:p>
    <w:p>
      <w:pPr>
        <w:pStyle w:val="Style11"/>
        <w:keepNext w:val="0"/>
        <w:keepLines w:val="0"/>
        <w:widowControl w:val="0"/>
        <w:shd w:val="clear" w:color="auto" w:fill="auto"/>
        <w:bidi w:val="0"/>
        <w:spacing w:before="0" w:after="0"/>
        <w:ind w:left="0" w:right="0" w:firstLine="0"/>
        <w:jc w:val="both"/>
      </w:pPr>
      <w:r>
        <w:rPr>
          <w:rStyle w:val="CharStyle12"/>
        </w:rPr>
        <w:t xml:space="preserve">предусмотренных п.2 и </w:t>
      </w:r>
      <w:r>
        <w:rPr>
          <w:rStyle w:val="CharStyle12"/>
          <w:lang w:val="en-US" w:eastAsia="en-US"/>
        </w:rPr>
        <w:t xml:space="preserve">3 </w:t>
      </w:r>
      <w:r>
        <w:rPr>
          <w:rStyle w:val="CharStyle12"/>
        </w:rPr>
        <w:t>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11"/>
        <w:keepNext w:val="0"/>
        <w:keepLines w:val="0"/>
        <w:widowControl w:val="0"/>
        <w:numPr>
          <w:ilvl w:val="0"/>
          <w:numId w:val="1"/>
        </w:numPr>
        <w:shd w:val="clear" w:color="auto" w:fill="auto"/>
        <w:tabs>
          <w:tab w:pos="1416" w:val="left"/>
        </w:tabs>
        <w:bidi w:val="0"/>
        <w:spacing w:before="0" w:after="0"/>
        <w:ind w:left="0" w:right="0" w:firstLine="700"/>
        <w:jc w:val="both"/>
      </w:pPr>
      <w:r>
        <w:rPr>
          <w:rStyle w:val="CharStyle12"/>
        </w:rPr>
        <w:t xml:space="preserve">непредставления информации и документов, предусмотренных п.2 и </w:t>
      </w:r>
      <w:r>
        <w:rPr>
          <w:rStyle w:val="CharStyle12"/>
          <w:lang w:val="en-US" w:eastAsia="en-US"/>
        </w:rPr>
        <w:t xml:space="preserve">3 </w:t>
      </w:r>
      <w:r>
        <w:rPr>
          <w:rStyle w:val="CharStyle12"/>
        </w:rPr>
        <w:t>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11"/>
        <w:keepNext w:val="0"/>
        <w:keepLines w:val="0"/>
        <w:widowControl w:val="0"/>
        <w:numPr>
          <w:ilvl w:val="0"/>
          <w:numId w:val="1"/>
        </w:numPr>
        <w:shd w:val="clear" w:color="auto" w:fill="auto"/>
        <w:tabs>
          <w:tab w:pos="1416" w:val="left"/>
        </w:tabs>
        <w:bidi w:val="0"/>
        <w:spacing w:before="0" w:after="0"/>
        <w:ind w:left="0" w:right="0" w:firstLine="700"/>
        <w:jc w:val="both"/>
      </w:pPr>
      <w:r>
        <w:rPr>
          <w:rStyle w:val="CharStyle12"/>
        </w:rPr>
        <w:t xml:space="preserve">несоответствия участника закупки требованиям, установленным в извещении об осуществлении закупки в соответствии с ч.1 ст.31 Закона о контрактной системе, требованиям, установленным в извещении об осуществлении закупки в соответствии с ч.1.1, </w:t>
      </w:r>
      <w:r>
        <w:rPr>
          <w:rStyle w:val="CharStyle12"/>
          <w:lang w:val="en-US" w:eastAsia="en-US"/>
        </w:rPr>
        <w:t xml:space="preserve">2 </w:t>
      </w:r>
      <w:r>
        <w:rPr>
          <w:rStyle w:val="CharStyle12"/>
        </w:rPr>
        <w:t xml:space="preserve">и </w:t>
      </w:r>
      <w:r>
        <w:rPr>
          <w:rStyle w:val="CharStyle12"/>
          <w:lang w:val="en-US" w:eastAsia="en-US"/>
        </w:rPr>
        <w:t xml:space="preserve">2.1 </w:t>
      </w:r>
      <w:r>
        <w:rPr>
          <w:rStyle w:val="CharStyle12"/>
        </w:rPr>
        <w:t>(при наличии таких требований) ст.31 Закона о контрактной системе;</w:t>
      </w:r>
    </w:p>
    <w:p>
      <w:pPr>
        <w:pStyle w:val="Style11"/>
        <w:keepNext w:val="0"/>
        <w:keepLines w:val="0"/>
        <w:widowControl w:val="0"/>
        <w:numPr>
          <w:ilvl w:val="0"/>
          <w:numId w:val="1"/>
        </w:numPr>
        <w:shd w:val="clear" w:color="auto" w:fill="auto"/>
        <w:tabs>
          <w:tab w:pos="1416" w:val="left"/>
        </w:tabs>
        <w:bidi w:val="0"/>
        <w:spacing w:before="0" w:after="0"/>
        <w:ind w:left="0" w:right="0" w:firstLine="700"/>
        <w:jc w:val="both"/>
      </w:pPr>
      <w:r>
        <w:rPr>
          <w:rStyle w:val="CharStyle12"/>
        </w:rPr>
        <w:t>предусмотренных пп.«а» п.1 (за исключением случая, предусмотренного п.5 ч.12 ст.48 Закона о контрактной системе), пп.«а» п.2 ч.4, пп.«а» п.1 (за исключением случая, предусмотренного п.5 ч.12 ст.48 Закона о контрактной системе), п.2 ч.5 ст.14 Закона о контрактной системе;</w:t>
      </w:r>
    </w:p>
    <w:p>
      <w:pPr>
        <w:pStyle w:val="Style11"/>
        <w:keepNext w:val="0"/>
        <w:keepLines w:val="0"/>
        <w:widowControl w:val="0"/>
        <w:numPr>
          <w:ilvl w:val="0"/>
          <w:numId w:val="1"/>
        </w:numPr>
        <w:shd w:val="clear" w:color="auto" w:fill="auto"/>
        <w:tabs>
          <w:tab w:pos="1416" w:val="left"/>
        </w:tabs>
        <w:bidi w:val="0"/>
        <w:spacing w:before="0" w:after="0"/>
        <w:ind w:left="0" w:right="0" w:firstLine="700"/>
        <w:jc w:val="both"/>
      </w:pPr>
      <w:r>
        <w:rPr>
          <w:rStyle w:val="CharStyle12"/>
        </w:rPr>
        <w:t>непредставления информации и документов, предусмотренных п.5 ч.1 ст.43 Закона о контрактной системе, если такие информация и документы определены в соответствии с п.2 ч.2 ст.14 Закона о контрактной системе (в случае установления в соответствии с пп.«а» п.1 ч.2 ст.14 Закона о контрактной системе в извещении об осуществлении закупки запрета закупок товара, происходящего из иностранного государства);</w:t>
      </w:r>
    </w:p>
    <w:p>
      <w:pPr>
        <w:pStyle w:val="Style11"/>
        <w:keepNext w:val="0"/>
        <w:keepLines w:val="0"/>
        <w:widowControl w:val="0"/>
        <w:numPr>
          <w:ilvl w:val="0"/>
          <w:numId w:val="1"/>
        </w:numPr>
        <w:shd w:val="clear" w:color="auto" w:fill="auto"/>
        <w:tabs>
          <w:tab w:pos="1416" w:val="left"/>
        </w:tabs>
        <w:bidi w:val="0"/>
        <w:spacing w:before="0" w:after="0"/>
        <w:ind w:left="0" w:right="0" w:firstLine="700"/>
        <w:jc w:val="both"/>
      </w:pPr>
      <w:r>
        <w:rPr>
          <w:rStyle w:val="CharStyle12"/>
        </w:rPr>
        <w:t xml:space="preserve">выявления отнесения участника закупки к организациям, предусмотренным п.4 ст.2 Федерального закона от </w:t>
      </w:r>
      <w:r>
        <w:rPr>
          <w:rStyle w:val="CharStyle12"/>
          <w:lang w:val="en-US" w:eastAsia="en-US"/>
        </w:rPr>
        <w:t xml:space="preserve">4 </w:t>
      </w:r>
      <w:r>
        <w:rPr>
          <w:rStyle w:val="CharStyle12"/>
        </w:rPr>
        <w:t xml:space="preserve">июня </w:t>
      </w:r>
      <w:r>
        <w:rPr>
          <w:rStyle w:val="CharStyle12"/>
          <w:lang w:val="en-US" w:eastAsia="en-US"/>
        </w:rPr>
        <w:t xml:space="preserve">2018 </w:t>
      </w:r>
      <w:r>
        <w:rPr>
          <w:rStyle w:val="CharStyle12"/>
        </w:rPr>
        <w:t>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1"/>
        <w:keepNext w:val="0"/>
        <w:keepLines w:val="0"/>
        <w:widowControl w:val="0"/>
        <w:numPr>
          <w:ilvl w:val="0"/>
          <w:numId w:val="1"/>
        </w:numPr>
        <w:shd w:val="clear" w:color="auto" w:fill="auto"/>
        <w:tabs>
          <w:tab w:pos="2116" w:val="left"/>
        </w:tabs>
        <w:bidi w:val="0"/>
        <w:spacing w:before="0" w:after="0"/>
        <w:ind w:left="0" w:right="0" w:firstLine="700"/>
        <w:jc w:val="both"/>
      </w:pPr>
      <w:r>
        <w:rPr>
          <w:rStyle w:val="CharStyle12"/>
        </w:rPr>
        <w:t>предусмотренных ч.6 ст.45 Закона о контрактной системе;</w:t>
      </w:r>
    </w:p>
    <w:p>
      <w:pPr>
        <w:pStyle w:val="Style11"/>
        <w:keepNext w:val="0"/>
        <w:keepLines w:val="0"/>
        <w:widowControl w:val="0"/>
        <w:numPr>
          <w:ilvl w:val="0"/>
          <w:numId w:val="1"/>
        </w:numPr>
        <w:shd w:val="clear" w:color="auto" w:fill="auto"/>
        <w:tabs>
          <w:tab w:pos="1416" w:val="left"/>
        </w:tabs>
        <w:bidi w:val="0"/>
        <w:spacing w:before="0" w:after="0"/>
        <w:ind w:left="0" w:right="0" w:firstLine="700"/>
        <w:jc w:val="both"/>
      </w:pPr>
      <w:r>
        <w:rPr>
          <w:rStyle w:val="CharStyle12"/>
        </w:rPr>
        <w:t>выявления недостоверной информации, содержащейся в заявке на участие в закупке;</w:t>
      </w:r>
    </w:p>
    <w:p>
      <w:pPr>
        <w:pStyle w:val="Style11"/>
        <w:keepNext w:val="0"/>
        <w:keepLines w:val="0"/>
        <w:widowControl w:val="0"/>
        <w:numPr>
          <w:ilvl w:val="0"/>
          <w:numId w:val="1"/>
        </w:numPr>
        <w:shd w:val="clear" w:color="auto" w:fill="auto"/>
        <w:tabs>
          <w:tab w:pos="1416" w:val="left"/>
        </w:tabs>
        <w:bidi w:val="0"/>
        <w:spacing w:before="0" w:after="0"/>
        <w:ind w:left="0" w:right="0" w:firstLine="700"/>
        <w:jc w:val="both"/>
      </w:pPr>
      <w:r>
        <w:rPr>
          <w:rStyle w:val="CharStyle12"/>
        </w:rPr>
        <w:t>указания информации о предложении участника закупки, предусмотренном п.3 или п.4 ч.1 ст.43 Закона о контрактной системе.</w:t>
      </w:r>
    </w:p>
    <w:p>
      <w:pPr>
        <w:pStyle w:val="Style11"/>
        <w:keepNext w:val="0"/>
        <w:keepLines w:val="0"/>
        <w:widowControl w:val="0"/>
        <w:shd w:val="clear" w:color="auto" w:fill="auto"/>
        <w:bidi w:val="0"/>
        <w:spacing w:before="0" w:after="0"/>
        <w:ind w:left="0" w:right="0" w:firstLine="700"/>
        <w:jc w:val="both"/>
      </w:pPr>
      <w:r>
        <w:rPr>
          <w:rStyle w:val="CharStyle12"/>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1"/>
        <w:keepNext w:val="0"/>
        <w:keepLines w:val="0"/>
        <w:widowControl w:val="0"/>
        <w:shd w:val="clear" w:color="auto" w:fill="auto"/>
        <w:bidi w:val="0"/>
        <w:spacing w:before="0" w:after="0"/>
        <w:ind w:left="0" w:right="0" w:firstLine="700"/>
        <w:jc w:val="both"/>
      </w:pPr>
      <w:r>
        <w:rPr>
          <w:rStyle w:val="CharStyle12"/>
        </w:rPr>
        <w:t>На заседании Комиссии Управления представитель Заказчика пояснил, что заявка участника закупки ООО «Извор» отклонена комиссией по осуществлению закупок Заказчика на основании непредставления в составе заявки документа, подтверждающего наличие у участника закупки действующей лицензии на деятельность по перевозкам пассажиров и иных лиц автобусами.</w:t>
      </w:r>
    </w:p>
    <w:p>
      <w:pPr>
        <w:pStyle w:val="Style11"/>
        <w:keepNext w:val="0"/>
        <w:keepLines w:val="0"/>
        <w:widowControl w:val="0"/>
        <w:shd w:val="clear" w:color="auto" w:fill="auto"/>
        <w:bidi w:val="0"/>
        <w:spacing w:before="0" w:after="0" w:line="254" w:lineRule="auto"/>
        <w:ind w:left="0" w:right="0" w:firstLine="700"/>
        <w:jc w:val="both"/>
      </w:pPr>
      <w:r>
        <w:rPr>
          <w:rStyle w:val="CharStyle12"/>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11"/>
        <w:keepNext w:val="0"/>
        <w:keepLines w:val="0"/>
        <w:widowControl w:val="0"/>
        <w:shd w:val="clear" w:color="auto" w:fill="auto"/>
        <w:bidi w:val="0"/>
        <w:spacing w:before="0" w:after="0" w:line="254" w:lineRule="auto"/>
        <w:ind w:left="0" w:right="0" w:firstLine="700"/>
        <w:jc w:val="both"/>
      </w:pPr>
      <w:r>
        <w:rPr>
          <w:rStyle w:val="CharStyle12"/>
        </w:rPr>
        <w:t xml:space="preserve">В составе жалобы Заявитель указывал, что ООО «Извор» является туроператором, при этом у ООО «Извор» заключен действующий договор №077/АТО-25 от </w:t>
      </w:r>
      <w:r>
        <w:rPr>
          <w:rStyle w:val="CharStyle12"/>
          <w:lang w:val="en-US" w:eastAsia="en-US"/>
        </w:rPr>
        <w:t xml:space="preserve">01.09.2025 </w:t>
      </w:r>
      <w:r>
        <w:rPr>
          <w:rStyle w:val="CharStyle12"/>
        </w:rPr>
        <w:t xml:space="preserve">с транспортной компанией ООО «ТСК», обладающей действующей лицензии на деятельность по перевозкам пассажиров и иных лиц автобусами (лицензия №АК-77-000599 от </w:t>
      </w:r>
      <w:r>
        <w:rPr>
          <w:rStyle w:val="CharStyle12"/>
          <w:lang w:val="en-US" w:eastAsia="en-US"/>
        </w:rPr>
        <w:t xml:space="preserve">08.07.2019 </w:t>
      </w:r>
      <w:r>
        <w:rPr>
          <w:rStyle w:val="CharStyle12"/>
        </w:rPr>
        <w:t>года), ввиду чего отклонение заявки Заявителя является неправомерным.</w:t>
      </w:r>
    </w:p>
    <w:p>
      <w:pPr>
        <w:pStyle w:val="Style11"/>
        <w:keepNext w:val="0"/>
        <w:keepLines w:val="0"/>
        <w:widowControl w:val="0"/>
        <w:shd w:val="clear" w:color="auto" w:fill="auto"/>
        <w:bidi w:val="0"/>
        <w:spacing w:before="0" w:after="0" w:line="254" w:lineRule="auto"/>
        <w:ind w:left="0" w:right="0" w:firstLine="700"/>
        <w:jc w:val="both"/>
      </w:pPr>
      <w:r>
        <w:rPr>
          <w:rStyle w:val="CharStyle12"/>
        </w:rPr>
        <w:t>Комиссией Управления установлено, что в составе заявки Заявителя не представлены сведения о наличии у участника закупки действующей лицензии на деятельность по перевозкам пассажиров и иных лиц автобусами.</w:t>
      </w:r>
    </w:p>
    <w:p>
      <w:pPr>
        <w:pStyle w:val="Style11"/>
        <w:keepNext w:val="0"/>
        <w:keepLines w:val="0"/>
        <w:widowControl w:val="0"/>
        <w:shd w:val="clear" w:color="auto" w:fill="auto"/>
        <w:bidi w:val="0"/>
        <w:spacing w:before="0" w:after="0" w:line="254" w:lineRule="auto"/>
        <w:ind w:left="0" w:right="0" w:firstLine="700"/>
        <w:jc w:val="both"/>
      </w:pPr>
      <w:r>
        <w:rPr>
          <w:rStyle w:val="CharStyle12"/>
        </w:rPr>
        <w:t>Комиссия Управления отмечает, что у участника закупки, в случае предъявления к нему определённых квалификационных или обязательных в силу закона требований, сохраняется обязанность по собственному соответствию таким требованиям, вне зависимости от наличия у него намерения и возможности привлечь к исполнению своих обязательств по контракту субподрядную организацию.</w:t>
      </w:r>
    </w:p>
    <w:p>
      <w:pPr>
        <w:pStyle w:val="Style11"/>
        <w:keepNext w:val="0"/>
        <w:keepLines w:val="0"/>
        <w:widowControl w:val="0"/>
        <w:shd w:val="clear" w:color="auto" w:fill="auto"/>
        <w:bidi w:val="0"/>
        <w:spacing w:before="0" w:after="0" w:line="254" w:lineRule="auto"/>
        <w:ind w:left="0" w:right="0" w:firstLine="700"/>
        <w:jc w:val="both"/>
      </w:pPr>
      <w:r>
        <w:rPr>
          <w:rStyle w:val="CharStyle12"/>
        </w:rPr>
        <w:t>Сама по себе возможность привлечения субподрядной организации не освобождает участника закупки от исполнения работ по контракту, поскольку иное противоречило бы смыслу самого института субподряда (ст.706 ГК РФ), предполагающего привлечение субподрядчиков для выполнения отдельных видов работ по контракту, но не всего контракта целиком.</w:t>
      </w:r>
    </w:p>
    <w:p>
      <w:pPr>
        <w:pStyle w:val="Style11"/>
        <w:keepNext w:val="0"/>
        <w:keepLines w:val="0"/>
        <w:widowControl w:val="0"/>
        <w:shd w:val="clear" w:color="auto" w:fill="auto"/>
        <w:bidi w:val="0"/>
        <w:spacing w:before="0" w:after="0" w:line="254" w:lineRule="auto"/>
        <w:ind w:left="0" w:right="0" w:firstLine="700"/>
        <w:jc w:val="both"/>
      </w:pPr>
      <w:r>
        <w:rPr>
          <w:rStyle w:val="CharStyle12"/>
        </w:rPr>
        <w:t>Данная позиция нашла своё отражение в решении Арбитражного суда г. Москвы по делу №А40-103932/19-121-911.</w:t>
      </w:r>
    </w:p>
    <w:p>
      <w:pPr>
        <w:pStyle w:val="Style11"/>
        <w:keepNext w:val="0"/>
        <w:keepLines w:val="0"/>
        <w:widowControl w:val="0"/>
        <w:shd w:val="clear" w:color="auto" w:fill="auto"/>
        <w:bidi w:val="0"/>
        <w:spacing w:before="0" w:after="0" w:line="254" w:lineRule="auto"/>
        <w:ind w:left="0" w:right="0" w:firstLine="700"/>
        <w:jc w:val="both"/>
      </w:pPr>
      <w:r>
        <w:rPr>
          <w:rStyle w:val="CharStyle12"/>
        </w:rPr>
        <w:t>Таким образом, довод представителя Заявителя о возможности привлечения соисполнителя и отсутствии необходимости наличия непосредственно у участника закупки действующей лицензией не находит своего подтверждения.</w:t>
      </w:r>
    </w:p>
    <w:p>
      <w:pPr>
        <w:pStyle w:val="Style11"/>
        <w:keepNext w:val="0"/>
        <w:keepLines w:val="0"/>
        <w:widowControl w:val="0"/>
        <w:shd w:val="clear" w:color="auto" w:fill="auto"/>
        <w:bidi w:val="0"/>
        <w:spacing w:before="0" w:after="0" w:line="254" w:lineRule="auto"/>
        <w:ind w:left="0" w:right="0" w:firstLine="700"/>
        <w:jc w:val="both"/>
      </w:pPr>
      <w:r>
        <w:rPr>
          <w:rStyle w:val="CharStyle12"/>
        </w:rPr>
        <w:t>Вместе с этим, Комиссия Управления считает необходимым отметить, что руководствуясь буквально положениями п.1 ч.1 ст.31 Закона о контрактной системе, устанавливающими требование напрямую к участникам закупки о соответствии требованиям, установленным в соответствии с законодательством Российской Федерации, и положениями пп.«н» п.1 ч.1 ст.43 Закона о контрактной системе, которые, как следствие, не предусматривают возможность подтверждения соответствия требованиям п.1 ч.1 ст.31 Закона о контрактной системе иного лица, помимо участника закупки, подавшего заявку на участие в конкурентной процедуре.</w:t>
      </w:r>
    </w:p>
    <w:p>
      <w:pPr>
        <w:pStyle w:val="Style11"/>
        <w:keepNext w:val="0"/>
        <w:keepLines w:val="0"/>
        <w:widowControl w:val="0"/>
        <w:shd w:val="clear" w:color="auto" w:fill="auto"/>
        <w:bidi w:val="0"/>
        <w:spacing w:before="0" w:after="0" w:line="254" w:lineRule="auto"/>
        <w:ind w:left="0" w:right="0" w:firstLine="700"/>
        <w:jc w:val="both"/>
      </w:pPr>
      <w:r>
        <w:rPr>
          <w:rStyle w:val="CharStyle12"/>
        </w:rPr>
        <w:t>Кроме того, Закон о контрактной системе не предусматривает участие в закупках нескольких юридических лиц, выступающих на стороне участника закупки.</w:t>
      </w:r>
    </w:p>
    <w:p>
      <w:pPr>
        <w:pStyle w:val="Style11"/>
        <w:keepNext w:val="0"/>
        <w:keepLines w:val="0"/>
        <w:widowControl w:val="0"/>
        <w:shd w:val="clear" w:color="auto" w:fill="auto"/>
        <w:bidi w:val="0"/>
        <w:spacing w:before="0" w:after="0" w:line="254" w:lineRule="auto"/>
        <w:ind w:left="0" w:right="0" w:firstLine="700"/>
        <w:jc w:val="both"/>
        <w:sectPr>
          <w:headerReference w:type="default" r:id="rId15"/>
          <w:footerReference w:type="default" r:id="rId16"/>
          <w:footnotePr>
            <w:pos w:val="pageBottom"/>
            <w:numFmt w:val="decimal"/>
            <w:numRestart w:val="continuous"/>
          </w:footnotePr>
          <w:pgSz w:w="11900" w:h="16840"/>
          <w:pgMar w:top="1162" w:right="544" w:bottom="1268" w:left="1104" w:header="0" w:footer="3" w:gutter="0"/>
          <w:cols w:space="720"/>
          <w:noEndnote/>
          <w:rtlGutter w:val="0"/>
          <w:docGrid w:linePitch="360"/>
        </w:sectPr>
      </w:pPr>
      <w:r>
        <w:rPr>
          <w:rStyle w:val="CharStyle12"/>
        </w:rPr>
        <w:t>Так, согласно п.4 ст.3 Закона о контрактной системе участником закупки может быть любое юридическое лицо независимо от его организационно-правовой</w:t>
      </w:r>
    </w:p>
    <w:p>
      <w:pPr>
        <w:pStyle w:val="Style11"/>
        <w:keepNext w:val="0"/>
        <w:keepLines w:val="0"/>
        <w:widowControl w:val="0"/>
        <w:shd w:val="clear" w:color="auto" w:fill="auto"/>
        <w:bidi w:val="0"/>
        <w:spacing w:before="0" w:after="0"/>
        <w:ind w:left="0" w:right="0" w:firstLine="0"/>
        <w:jc w:val="both"/>
      </w:pPr>
      <w:r>
        <w:rPr>
          <w:rStyle w:val="CharStyle12"/>
        </w:rPr>
        <w:t xml:space="preserve">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п.15 ст.241 Бюджетного кодекса Российской Федерации перечень государств и территорий, используемых для промежуточного (офшорного) владения активами в Российской Федерации (далее </w:t>
      </w:r>
      <w:r>
        <w:rPr>
          <w:rStyle w:val="CharStyle12"/>
          <w:lang w:val="en-US" w:eastAsia="en-US"/>
        </w:rPr>
        <w:t xml:space="preserve">- </w:t>
      </w:r>
      <w:r>
        <w:rPr>
          <w:rStyle w:val="CharStyle12"/>
        </w:rPr>
        <w:t xml:space="preserve">офшорная компания), либо юридического лица, являющегося иностранным агентом в соответствии с Федеральным законом от </w:t>
      </w:r>
      <w:r>
        <w:rPr>
          <w:rStyle w:val="CharStyle12"/>
          <w:lang w:val="en-US" w:eastAsia="en-US"/>
        </w:rPr>
        <w:t xml:space="preserve">14 </w:t>
      </w:r>
      <w:r>
        <w:rPr>
          <w:rStyle w:val="CharStyle12"/>
        </w:rPr>
        <w:t xml:space="preserve">июля </w:t>
      </w:r>
      <w:r>
        <w:rPr>
          <w:rStyle w:val="CharStyle12"/>
          <w:lang w:val="en-US" w:eastAsia="en-US"/>
        </w:rPr>
        <w:t xml:space="preserve">2022 </w:t>
      </w:r>
      <w:r>
        <w:rPr>
          <w:rStyle w:val="CharStyle12"/>
        </w:rPr>
        <w:t xml:space="preserve">года №255-ФЗ «О контроле за деятельностью лиц, находящихся под иностранным влиянием», или любое физическое лицо, в том числе зарегистрированное в качестве индивидуального предпринимателя, за исключением физического лица, являющегося иностранным агентом в соответствии с Федеральным законом от </w:t>
      </w:r>
      <w:r>
        <w:rPr>
          <w:rStyle w:val="CharStyle12"/>
          <w:lang w:val="en-US" w:eastAsia="en-US"/>
        </w:rPr>
        <w:t xml:space="preserve">14 </w:t>
      </w:r>
      <w:r>
        <w:rPr>
          <w:rStyle w:val="CharStyle12"/>
        </w:rPr>
        <w:t xml:space="preserve">июля </w:t>
      </w:r>
      <w:r>
        <w:rPr>
          <w:rStyle w:val="CharStyle12"/>
          <w:lang w:val="en-US" w:eastAsia="en-US"/>
        </w:rPr>
        <w:t xml:space="preserve">2022 </w:t>
      </w:r>
      <w:r>
        <w:rPr>
          <w:rStyle w:val="CharStyle12"/>
        </w:rPr>
        <w:t>года №255-ФЗ «О контроле за деятельностью лиц, находящихся под иностранным влиянием».</w:t>
      </w:r>
    </w:p>
    <w:p>
      <w:pPr>
        <w:pStyle w:val="Style11"/>
        <w:keepNext w:val="0"/>
        <w:keepLines w:val="0"/>
        <w:widowControl w:val="0"/>
        <w:shd w:val="clear" w:color="auto" w:fill="auto"/>
        <w:bidi w:val="0"/>
        <w:spacing w:before="0" w:after="0"/>
        <w:ind w:left="0" w:right="0" w:firstLine="700"/>
        <w:jc w:val="both"/>
      </w:pPr>
      <w:r>
        <w:rPr>
          <w:rStyle w:val="CharStyle12"/>
        </w:rPr>
        <w:t xml:space="preserve">Как следует из буквального толкования диспозиции приведенной статьи, на стороне участника закупки может выступать только юридическое или физическое лицо в единственном числе, множественность лиц в этом случае не предполагается, а значит </w:t>
      </w:r>
      <w:r>
        <w:rPr>
          <w:rStyle w:val="CharStyle12"/>
          <w:lang w:val="en-US" w:eastAsia="en-US"/>
        </w:rPr>
        <w:t xml:space="preserve">- </w:t>
      </w:r>
      <w:r>
        <w:rPr>
          <w:rStyle w:val="CharStyle12"/>
        </w:rPr>
        <w:t>невозможна в рамках проведения закупок в соответствии с положениями Закона о контрактной системе.</w:t>
      </w:r>
    </w:p>
    <w:p>
      <w:pPr>
        <w:pStyle w:val="Style11"/>
        <w:keepNext w:val="0"/>
        <w:keepLines w:val="0"/>
        <w:widowControl w:val="0"/>
        <w:shd w:val="clear" w:color="auto" w:fill="auto"/>
        <w:bidi w:val="0"/>
        <w:spacing w:before="0" w:after="0"/>
        <w:ind w:left="0" w:right="0" w:firstLine="700"/>
        <w:jc w:val="both"/>
      </w:pPr>
      <w:r>
        <w:rPr>
          <w:rStyle w:val="CharStyle12"/>
        </w:rPr>
        <w:t xml:space="preserve">При этом, согласно ч.5 ст.3 Федерального закона Российской Федерации от </w:t>
      </w:r>
      <w:r>
        <w:rPr>
          <w:rStyle w:val="CharStyle12"/>
          <w:lang w:val="en-US" w:eastAsia="en-US"/>
        </w:rPr>
        <w:t xml:space="preserve">18 </w:t>
      </w:r>
      <w:r>
        <w:rPr>
          <w:rStyle w:val="CharStyle12"/>
        </w:rPr>
        <w:t xml:space="preserve">июля </w:t>
      </w:r>
      <w:r>
        <w:rPr>
          <w:rStyle w:val="CharStyle12"/>
          <w:lang w:val="en-US" w:eastAsia="en-US"/>
        </w:rPr>
        <w:t xml:space="preserve">2011 №223 </w:t>
      </w:r>
      <w:r>
        <w:rPr>
          <w:rStyle w:val="CharStyle12"/>
        </w:rPr>
        <w:t xml:space="preserve">«О закупках товаров, работ, услуг отдельными видами юридических лиц» (далее </w:t>
      </w:r>
      <w:r>
        <w:rPr>
          <w:rStyle w:val="CharStyle12"/>
          <w:lang w:val="en-US" w:eastAsia="en-US"/>
        </w:rPr>
        <w:t xml:space="preserve">— </w:t>
      </w:r>
      <w:r>
        <w:rPr>
          <w:rStyle w:val="CharStyle12"/>
        </w:rPr>
        <w:t xml:space="preserve">Закон о закупках) 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законом от </w:t>
      </w:r>
      <w:r>
        <w:rPr>
          <w:rStyle w:val="CharStyle12"/>
          <w:lang w:val="en-US" w:eastAsia="en-US"/>
        </w:rPr>
        <w:t xml:space="preserve">14 </w:t>
      </w:r>
      <w:r>
        <w:rPr>
          <w:rStyle w:val="CharStyle12"/>
        </w:rPr>
        <w:t xml:space="preserve">июля </w:t>
      </w:r>
      <w:r>
        <w:rPr>
          <w:rStyle w:val="CharStyle12"/>
          <w:lang w:val="en-US" w:eastAsia="en-US"/>
        </w:rPr>
        <w:t xml:space="preserve">2022 </w:t>
      </w:r>
      <w:r>
        <w:rPr>
          <w:rStyle w:val="CharStyle12"/>
        </w:rPr>
        <w:t xml:space="preserve">года №255-ФЗ «О контроле за деятельностью лиц, находящихся под иностранным влиянием»,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от </w:t>
      </w:r>
      <w:r>
        <w:rPr>
          <w:rStyle w:val="CharStyle12"/>
          <w:lang w:val="en-US" w:eastAsia="en-US"/>
        </w:rPr>
        <w:t xml:space="preserve">14 </w:t>
      </w:r>
      <w:r>
        <w:rPr>
          <w:rStyle w:val="CharStyle12"/>
        </w:rPr>
        <w:t xml:space="preserve">июля </w:t>
      </w:r>
      <w:r>
        <w:rPr>
          <w:rStyle w:val="CharStyle12"/>
          <w:lang w:val="en-US" w:eastAsia="en-US"/>
        </w:rPr>
        <w:t xml:space="preserve">2022 </w:t>
      </w:r>
      <w:r>
        <w:rPr>
          <w:rStyle w:val="CharStyle12"/>
        </w:rPr>
        <w:t>года №255-ФЗ «О контроле за деятельностью лиц, находящихся под иностранным влиянием».</w:t>
      </w:r>
    </w:p>
    <w:p>
      <w:pPr>
        <w:pStyle w:val="Style11"/>
        <w:keepNext w:val="0"/>
        <w:keepLines w:val="0"/>
        <w:widowControl w:val="0"/>
        <w:shd w:val="clear" w:color="auto" w:fill="auto"/>
        <w:bidi w:val="0"/>
        <w:spacing w:before="0" w:after="0"/>
        <w:ind w:left="0" w:right="0" w:firstLine="700"/>
        <w:jc w:val="both"/>
      </w:pPr>
      <w:r>
        <w:rPr>
          <w:rStyle w:val="CharStyle12"/>
        </w:rPr>
        <w:t>Таким образом, Закон о закупках, напротив, прямо предусматривает возможность одного участника подать одну заявку от имени нескольких лиц.</w:t>
      </w:r>
    </w:p>
    <w:p>
      <w:pPr>
        <w:pStyle w:val="Style11"/>
        <w:keepNext w:val="0"/>
        <w:keepLines w:val="0"/>
        <w:widowControl w:val="0"/>
        <w:shd w:val="clear" w:color="auto" w:fill="auto"/>
        <w:bidi w:val="0"/>
        <w:spacing w:before="0" w:after="0"/>
        <w:ind w:left="0" w:right="0" w:firstLine="700"/>
        <w:jc w:val="both"/>
      </w:pPr>
      <w:r>
        <w:rPr>
          <w:rStyle w:val="CharStyle12"/>
        </w:rPr>
        <w:t>Помимо этого, поскольку государственный заказчик в рассматриваемых правоотношениях обладает большим объемом публично-правовых обязанностей, нежели участник закупки, и осуществляет обеспечение государственных и муниципальных нужд в товарах, работах и услугах, то интересы такого заказчика в рамках исполнения государственного контракта должны быть обеспечены определенным уровнем квалификации участника, на который Заказчик в праве рассчитывать по результатам рассмотрения заявок и определения победителя.</w:t>
      </w:r>
    </w:p>
    <w:p>
      <w:pPr>
        <w:pStyle w:val="Style11"/>
        <w:keepNext w:val="0"/>
        <w:keepLines w:val="0"/>
        <w:widowControl w:val="0"/>
        <w:shd w:val="clear" w:color="auto" w:fill="auto"/>
        <w:bidi w:val="0"/>
        <w:spacing w:before="0" w:after="0" w:line="324" w:lineRule="auto"/>
        <w:ind w:left="0" w:right="0" w:firstLine="700"/>
        <w:jc w:val="both"/>
        <w:rPr>
          <w:sz w:val="24"/>
          <w:szCs w:val="24"/>
        </w:rPr>
        <w:sectPr>
          <w:headerReference w:type="default" r:id="rId17"/>
          <w:footerReference w:type="default" r:id="rId18"/>
          <w:footnotePr>
            <w:pos w:val="pageBottom"/>
            <w:numFmt w:val="decimal"/>
            <w:numRestart w:val="continuous"/>
          </w:footnotePr>
          <w:pgSz w:w="11900" w:h="16840"/>
          <w:pgMar w:top="1162" w:right="555" w:bottom="620" w:left="1101" w:header="0" w:footer="192" w:gutter="0"/>
          <w:cols w:space="720"/>
          <w:noEndnote/>
          <w:rtlGutter w:val="0"/>
          <w:docGrid w:linePitch="360"/>
        </w:sectPr>
      </w:pPr>
      <w:r>
        <w:rPr>
          <w:rStyle w:val="CharStyle12"/>
        </w:rPr>
        <w:t xml:space="preserve">Кроме того, Комиссия Управления отмечает, что в данном случае, необходимо </w:t>
      </w:r>
      <w:r>
        <w:rPr>
          <w:rStyle w:val="CharStyle12"/>
          <w:sz w:val="24"/>
          <w:szCs w:val="24"/>
          <w:lang w:val="en-US" w:eastAsia="en-US"/>
        </w:rPr>
        <w:t>2026-24192</w:t>
      </w:r>
    </w:p>
    <w:p>
      <w:pPr>
        <w:pStyle w:val="Style11"/>
        <w:keepNext w:val="0"/>
        <w:keepLines w:val="0"/>
        <w:widowControl w:val="0"/>
        <w:shd w:val="clear" w:color="auto" w:fill="auto"/>
        <w:bidi w:val="0"/>
        <w:spacing w:before="0" w:after="0"/>
        <w:ind w:left="0" w:right="0" w:firstLine="0"/>
        <w:jc w:val="both"/>
      </w:pPr>
      <w:r>
        <w:rPr>
          <w:rStyle w:val="CharStyle12"/>
        </w:rPr>
        <w:t>применять правовой подход, согласно которому противоречия, любые риски, возникающие при исполнении контракта (в данном случае например расторжения договора между Заявителем и привлеченным лицом, невозможность Заказчика предъявлять требования ко всем участникам договора, и как следствие постановка исполнения условий контракта в зависимость от действий третьих лиц), следует толковать в пользу Заказчика ввиду того, что заказчик, заключая контракт, действует из публичных интересов, а оплата в рамках такого контракта происходит из бюджетов бюджетной системы Российской Федерации.</w:t>
      </w:r>
    </w:p>
    <w:p>
      <w:pPr>
        <w:pStyle w:val="Style11"/>
        <w:keepNext w:val="0"/>
        <w:keepLines w:val="0"/>
        <w:widowControl w:val="0"/>
        <w:shd w:val="clear" w:color="auto" w:fill="auto"/>
        <w:bidi w:val="0"/>
        <w:spacing w:before="0" w:after="0"/>
        <w:ind w:left="0" w:right="0" w:firstLine="700"/>
        <w:jc w:val="both"/>
      </w:pPr>
      <w:r>
        <w:rPr>
          <w:rStyle w:val="CharStyle12"/>
        </w:rPr>
        <w:t>Согласно системному толкованию указанных положений законодательства именно участник закупки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в соответствии со спецификой и содержанием объекта закупки. При этом установление действующим законодательством требований к лицу, выполняющему работу (оказывающему услугу), фактически означает требование к подрядчику (исполнителю), что порождает для участника закупки обязанность по подтверждению его соответствия указанным требования путем представления соответствующих документов на стадии подачи заявок на участие в аукционе.</w:t>
      </w:r>
    </w:p>
    <w:p>
      <w:pPr>
        <w:pStyle w:val="Style11"/>
        <w:keepNext w:val="0"/>
        <w:keepLines w:val="0"/>
        <w:widowControl w:val="0"/>
        <w:shd w:val="clear" w:color="auto" w:fill="auto"/>
        <w:bidi w:val="0"/>
        <w:spacing w:before="0" w:after="0"/>
        <w:ind w:left="0" w:right="0" w:firstLine="700"/>
        <w:jc w:val="both"/>
      </w:pPr>
      <w:r>
        <w:rPr>
          <w:rStyle w:val="CharStyle12"/>
        </w:rPr>
        <w:t>Кроме того, как указано выше, в требованиях к составу заявки на участие в закупке содержится однозначное требование к составу заявки участника закупки, а положения структурированной формы извещения содержат однозначные требования к участникам закупки, что не допускает двоякого трактования условий участия в закупочной процедуре.</w:t>
      </w:r>
    </w:p>
    <w:p>
      <w:pPr>
        <w:pStyle w:val="Style11"/>
        <w:keepNext w:val="0"/>
        <w:keepLines w:val="0"/>
        <w:widowControl w:val="0"/>
        <w:shd w:val="clear" w:color="auto" w:fill="auto"/>
        <w:bidi w:val="0"/>
        <w:spacing w:before="0" w:after="0"/>
        <w:ind w:left="0" w:right="0" w:firstLine="700"/>
        <w:jc w:val="both"/>
      </w:pPr>
      <w:r>
        <w:rPr>
          <w:rStyle w:val="CharStyle12"/>
        </w:rPr>
        <w:t xml:space="preserve">Аналогичная правовая позиция изложена также в решениях Арбитражного суда г. Москвы по делам №А40-12774/24-149-101 от </w:t>
      </w:r>
      <w:r>
        <w:rPr>
          <w:rStyle w:val="CharStyle12"/>
          <w:lang w:val="en-US" w:eastAsia="en-US"/>
        </w:rPr>
        <w:t xml:space="preserve">17.04.2024, </w:t>
      </w:r>
      <w:r>
        <w:rPr>
          <w:rStyle w:val="CharStyle12"/>
        </w:rPr>
        <w:t xml:space="preserve">№А40-4353/20-17- </w:t>
      </w:r>
      <w:r>
        <w:rPr>
          <w:rStyle w:val="CharStyle12"/>
          <w:lang w:val="en-US" w:eastAsia="en-US"/>
        </w:rPr>
        <w:t xml:space="preserve">32 </w:t>
      </w:r>
      <w:r>
        <w:rPr>
          <w:rStyle w:val="CharStyle12"/>
        </w:rPr>
        <w:t xml:space="preserve">от </w:t>
      </w:r>
      <w:r>
        <w:rPr>
          <w:rStyle w:val="CharStyle12"/>
          <w:lang w:val="en-US" w:eastAsia="en-US"/>
        </w:rPr>
        <w:t>05.06.2020.</w:t>
      </w:r>
    </w:p>
    <w:p>
      <w:pPr>
        <w:pStyle w:val="Style11"/>
        <w:keepNext w:val="0"/>
        <w:keepLines w:val="0"/>
        <w:widowControl w:val="0"/>
        <w:shd w:val="clear" w:color="auto" w:fill="auto"/>
        <w:bidi w:val="0"/>
        <w:spacing w:before="0" w:after="0"/>
        <w:ind w:left="0" w:right="0" w:firstLine="700"/>
        <w:jc w:val="both"/>
      </w:pPr>
      <w:r>
        <w:rPr>
          <w:rStyle w:val="CharStyle12"/>
        </w:rPr>
        <w:t>На основании вышеизложенного, у Комиссии Управления отсутствуют правовые основания для признания комиссии Заказчика нарушившей требования Закона о контрактной системе.</w:t>
      </w:r>
    </w:p>
    <w:p>
      <w:pPr>
        <w:pStyle w:val="Style11"/>
        <w:keepNext w:val="0"/>
        <w:keepLines w:val="0"/>
        <w:widowControl w:val="0"/>
        <w:shd w:val="clear" w:color="auto" w:fill="auto"/>
        <w:bidi w:val="0"/>
        <w:spacing w:before="0" w:after="0"/>
        <w:ind w:left="0" w:right="0" w:firstLine="700"/>
        <w:jc w:val="both"/>
      </w:pPr>
      <w:r>
        <w:rPr>
          <w:rStyle w:val="CharStyle12"/>
        </w:rPr>
        <w:t>Таким образом, Комиссия Управления приходит к выводу, что у комиссии по осуществлению закупок Заказчика имелись основания для отклонения заявки Заявителя, и что решение комиссии по осуществлению закупок Заказчика об отклонении заявки ООО «Извор» по основанию, отраженному в протоколе подведения итогов, является правомерным.</w:t>
      </w:r>
    </w:p>
    <w:p>
      <w:pPr>
        <w:pStyle w:val="Style11"/>
        <w:keepNext w:val="0"/>
        <w:keepLines w:val="0"/>
        <w:widowControl w:val="0"/>
        <w:shd w:val="clear" w:color="auto" w:fill="auto"/>
        <w:bidi w:val="0"/>
        <w:spacing w:before="0" w:after="0"/>
        <w:ind w:left="0" w:right="0" w:firstLine="700"/>
        <w:jc w:val="both"/>
      </w:pPr>
      <w:r>
        <w:rPr>
          <w:rStyle w:val="CharStyle12"/>
        </w:rPr>
        <w:t>Исследовав представленные материалы, руководствуясь Законом о контрактной системе, Комиссия Управления</w:t>
      </w:r>
      <w:r>
        <w:br w:type="page"/>
      </w:r>
    </w:p>
    <w:p>
      <w:pPr>
        <w:pStyle w:val="Style11"/>
        <w:keepNext w:val="0"/>
        <w:keepLines w:val="0"/>
        <w:widowControl w:val="0"/>
        <w:shd w:val="clear" w:color="auto" w:fill="auto"/>
        <w:bidi w:val="0"/>
        <w:spacing w:before="0" w:after="320" w:line="240" w:lineRule="auto"/>
        <w:ind w:left="0" w:right="0" w:firstLine="0"/>
        <w:jc w:val="center"/>
      </w:pPr>
      <w:r>
        <w:rPr>
          <w:rStyle w:val="CharStyle12"/>
          <w:b/>
          <w:bCs/>
        </w:rPr>
        <w:t>Р Е Ш И Л А:</w:t>
      </w:r>
    </w:p>
    <w:p>
      <w:pPr>
        <w:pStyle w:val="Style11"/>
        <w:keepNext w:val="0"/>
        <w:keepLines w:val="0"/>
        <w:widowControl w:val="0"/>
        <w:numPr>
          <w:ilvl w:val="0"/>
          <w:numId w:val="3"/>
        </w:numPr>
        <w:shd w:val="clear" w:color="auto" w:fill="auto"/>
        <w:tabs>
          <w:tab w:pos="1416" w:val="left"/>
        </w:tabs>
        <w:bidi w:val="0"/>
        <w:spacing w:before="0" w:after="0"/>
        <w:ind w:left="0" w:right="0" w:firstLine="700"/>
        <w:jc w:val="both"/>
      </w:pPr>
      <w:r>
        <w:rPr>
          <w:rStyle w:val="CharStyle12"/>
        </w:rPr>
        <w:t>Признать жалобу ООО «Извор» на действия комиссии по осуществлению закупок Управы района Ивановское города Москвы необоснованной.</w:t>
      </w:r>
    </w:p>
    <w:p>
      <w:pPr>
        <w:pStyle w:val="Style11"/>
        <w:keepNext w:val="0"/>
        <w:keepLines w:val="0"/>
        <w:widowControl w:val="0"/>
        <w:numPr>
          <w:ilvl w:val="0"/>
          <w:numId w:val="3"/>
        </w:numPr>
        <w:shd w:val="clear" w:color="auto" w:fill="auto"/>
        <w:tabs>
          <w:tab w:pos="1416" w:val="left"/>
        </w:tabs>
        <w:bidi w:val="0"/>
        <w:spacing w:before="0" w:after="200"/>
        <w:ind w:left="0" w:right="0" w:firstLine="700"/>
        <w:jc w:val="both"/>
      </w:pPr>
      <w:r>
        <w:rPr>
          <w:rStyle w:val="CharStyle12"/>
        </w:rPr>
        <w:t>Снять ограничения, наложенные на определение поставщика (подрядчика, исполнителя).</w:t>
      </w:r>
    </w:p>
    <w:p>
      <w:pPr>
        <w:pStyle w:val="Style11"/>
        <w:keepNext w:val="0"/>
        <w:keepLines w:val="0"/>
        <w:widowControl w:val="0"/>
        <w:shd w:val="clear" w:color="auto" w:fill="auto"/>
        <w:bidi w:val="0"/>
        <w:spacing w:before="0" w:after="0"/>
        <w:ind w:left="0" w:right="0" w:firstLine="700"/>
        <w:jc w:val="both"/>
      </w:pPr>
      <w:r>
        <w:rPr>
          <w:rStyle w:val="CharStyle12"/>
        </w:rPr>
        <w:t xml:space="preserve">Решение может быть обжаловано в судебном порядке в Арбитражном суде г. Москвы в течение </w:t>
      </w:r>
      <w:r>
        <w:rPr>
          <w:rStyle w:val="CharStyle12"/>
          <w:lang w:val="en-US" w:eastAsia="en-US"/>
        </w:rPr>
        <w:t xml:space="preserve">3 </w:t>
      </w:r>
      <w:r>
        <w:rPr>
          <w:rStyle w:val="CharStyle12"/>
        </w:rPr>
        <w:t xml:space="preserve">(трех) месяцев с даты его принятия в порядке, установленном гл. </w:t>
      </w:r>
      <w:r>
        <w:rPr>
          <w:rStyle w:val="CharStyle12"/>
          <w:lang w:val="en-US" w:eastAsia="en-US"/>
        </w:rPr>
        <w:t xml:space="preserve">24 </w:t>
      </w:r>
      <w:r>
        <w:rPr>
          <w:rStyle w:val="CharStyle12"/>
        </w:rPr>
        <w:t>АПК РФ.</w:t>
      </w:r>
    </w:p>
    <w:p>
      <w:pPr>
        <w:widowControl w:val="0"/>
        <w:spacing w:line="1" w:lineRule="exact"/>
        <w:sectPr>
          <w:headerReference w:type="default" r:id="rId19"/>
          <w:footerReference w:type="default" r:id="rId20"/>
          <w:footnotePr>
            <w:pos w:val="pageBottom"/>
            <w:numFmt w:val="decimal"/>
            <w:numRestart w:val="continuous"/>
          </w:footnotePr>
          <w:pgSz w:w="11900" w:h="16840"/>
          <w:pgMar w:top="1138" w:right="535" w:bottom="1320" w:left="1107" w:header="0" w:footer="3" w:gutter="0"/>
          <w:cols w:space="720"/>
          <w:noEndnote/>
          <w:rtlGutter w:val="0"/>
          <w:docGrid w:linePitch="360"/>
        </w:sectPr>
      </w:pPr>
      <w:r>
        <mc:AlternateContent>
          <mc:Choice Requires="wps">
            <w:drawing>
              <wp:anchor distT="139700" distB="340995" distL="0" distR="0" simplePos="0" relativeHeight="125829380" behindDoc="0" locked="0" layoutInCell="1" allowOverlap="1">
                <wp:simplePos x="0" y="0"/>
                <wp:positionH relativeFrom="page">
                  <wp:posOffset>736600</wp:posOffset>
                </wp:positionH>
                <wp:positionV relativeFrom="paragraph">
                  <wp:posOffset>139700</wp:posOffset>
                </wp:positionV>
                <wp:extent cx="1896110" cy="250190"/>
                <wp:wrapTopAndBottom/>
                <wp:docPr id="24" name="Shape 24"/>
                <a:graphic xmlns:a="http://schemas.openxmlformats.org/drawingml/2006/main">
                  <a:graphicData uri="http://schemas.microsoft.com/office/word/2010/wordprocessingShape">
                    <wps:wsp>
                      <wps:cNvSpPr txBox="1"/>
                      <wps:spPr>
                        <a:xfrm>
                          <a:ext cx="189611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wps:txbx>
                      <wps:bodyPr wrap="none" lIns="0" tIns="0" rIns="0" bIns="0">
                        <a:noAutoFit/>
                      </wps:bodyPr>
                    </wps:wsp>
                  </a:graphicData>
                </a:graphic>
              </wp:anchor>
            </w:drawing>
          </mc:Choice>
          <mc:Fallback>
            <w:pict>
              <v:shape id="_x0000_s1050" type="#_x0000_t202" style="position:absolute;margin-left:58.pt;margin-top:11.pt;width:149.30000000000001pt;height:19.699999999999999pt;z-index:-125829373;mso-wrap-distance-left:0;mso-wrap-distance-top:11.pt;mso-wrap-distance-right:0;mso-wrap-distance-bottom:26.85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v:textbox>
                <w10:wrap type="topAndBottom" anchorx="page"/>
              </v:shape>
            </w:pict>
          </mc:Fallback>
        </mc:AlternateContent>
      </w:r>
      <w:r>
        <w:drawing>
          <wp:anchor distT="207010" distB="0" distL="0" distR="1786255" simplePos="0" relativeHeight="125829382" behindDoc="0" locked="0" layoutInCell="1" allowOverlap="1">
            <wp:simplePos x="0" y="0"/>
            <wp:positionH relativeFrom="page">
              <wp:posOffset>3105150</wp:posOffset>
            </wp:positionH>
            <wp:positionV relativeFrom="paragraph">
              <wp:posOffset>207010</wp:posOffset>
            </wp:positionV>
            <wp:extent cx="359410" cy="524510"/>
            <wp:wrapTopAndBottom/>
            <wp:docPr id="26" name="Shape 26"/>
            <a:graphic xmlns:a="http://schemas.openxmlformats.org/drawingml/2006/main">
              <a:graphicData uri="http://schemas.openxmlformats.org/drawingml/2006/picture">
                <pic:pic xmlns:pic="http://schemas.openxmlformats.org/drawingml/2006/picture">
                  <pic:nvPicPr>
                    <pic:cNvPr id="27" name="Picture box 27"/>
                    <pic:cNvPicPr/>
                  </pic:nvPicPr>
                  <pic:blipFill>
                    <a:blip r:embed="rId21"/>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3565525</wp:posOffset>
                </wp:positionH>
                <wp:positionV relativeFrom="paragraph">
                  <wp:posOffset>615315</wp:posOffset>
                </wp:positionV>
                <wp:extent cx="1283335" cy="100330"/>
                <wp:wrapNone/>
                <wp:docPr id="28" name="Shape 28"/>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7"/>
                                <w:rFonts w:ascii="Arial" w:eastAsia="Arial" w:hAnsi="Arial" w:cs="Arial"/>
                                <w:color w:val="FFFFFF"/>
                              </w:rPr>
                              <w:t>СВЕДЕНИЯ О СЕРТИФИКАТЕ ЭП</w:t>
                            </w:r>
                          </w:p>
                        </w:txbxContent>
                      </wps:txbx>
                      <wps:bodyPr lIns="0" tIns="0" rIns="0" bIns="0">
                        <a:noAutoFit/>
                      </wps:bodyPr>
                    </wps:wsp>
                  </a:graphicData>
                </a:graphic>
              </wp:anchor>
            </w:drawing>
          </mc:Choice>
          <mc:Fallback>
            <w:pict>
              <v:shape id="_x0000_s1054" type="#_x0000_t202" style="position:absolute;margin-left:280.75pt;margin-top:48.450000000000003pt;width:101.05pt;height:7.9000000000000004pt;z-index:251657729;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7"/>
                          <w:rFonts w:ascii="Arial" w:eastAsia="Arial" w:hAnsi="Arial" w:cs="Arial"/>
                          <w:color w:val="FFFFFF"/>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3525520</wp:posOffset>
                </wp:positionH>
                <wp:positionV relativeFrom="paragraph">
                  <wp:posOffset>298450</wp:posOffset>
                </wp:positionV>
                <wp:extent cx="1722120" cy="259080"/>
                <wp:wrapNone/>
                <wp:docPr id="30" name="Shape 3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6" type="#_x0000_t202" style="position:absolute;margin-left:277.60000000000002pt;margin-top:23.5pt;width:135.59999999999999pt;height:20.40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39700" distB="340995" distL="0" distR="0" simplePos="0" relativeHeight="125829383" behindDoc="0" locked="0" layoutInCell="1" allowOverlap="1">
                <wp:simplePos x="0" y="0"/>
                <wp:positionH relativeFrom="page">
                  <wp:posOffset>5911850</wp:posOffset>
                </wp:positionH>
                <wp:positionV relativeFrom="paragraph">
                  <wp:posOffset>139700</wp:posOffset>
                </wp:positionV>
                <wp:extent cx="1304290" cy="250190"/>
                <wp:wrapTopAndBottom/>
                <wp:docPr id="32" name="Shape 32"/>
                <a:graphic xmlns:a="http://schemas.openxmlformats.org/drawingml/2006/main">
                  <a:graphicData uri="http://schemas.microsoft.com/office/word/2010/wordprocessingShape">
                    <wps:wsp>
                      <wps:cNvSpPr txBox="1"/>
                      <wps:spPr>
                        <a:xfrm>
                          <a:ext cx="130429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Е.Д. Мартьянова</w:t>
                            </w:r>
                          </w:p>
                        </w:txbxContent>
                      </wps:txbx>
                      <wps:bodyPr wrap="none" lIns="0" tIns="0" rIns="0" bIns="0">
                        <a:noAutoFit/>
                      </wps:bodyPr>
                    </wps:wsp>
                  </a:graphicData>
                </a:graphic>
              </wp:anchor>
            </w:drawing>
          </mc:Choice>
          <mc:Fallback>
            <w:pict>
              <v:shape id="_x0000_s1058" type="#_x0000_t202" style="position:absolute;margin-left:465.5pt;margin-top:11.pt;width:102.7pt;height:19.699999999999999pt;z-index:-125829370;mso-wrap-distance-left:0;mso-wrap-distance-top:11.pt;mso-wrap-distance-right:0;mso-wrap-distance-bottom:26.85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Е.Д. Мартьянова</w:t>
                      </w:r>
                    </w:p>
                  </w:txbxContent>
                </v:textbox>
                <w10:wrap type="topAndBottom" anchorx="page"/>
              </v:shape>
            </w:pict>
          </mc:Fallback>
        </mc:AlternateContent>
      </w:r>
    </w:p>
    <w:p>
      <w:pPr>
        <w:pStyle w:val="Style19"/>
        <w:keepNext w:val="0"/>
        <w:keepLines w:val="0"/>
        <w:widowControl w:val="0"/>
        <w:shd w:val="clear" w:color="auto" w:fill="auto"/>
        <w:bidi w:val="0"/>
        <w:spacing w:before="0" w:after="0" w:line="240" w:lineRule="auto"/>
        <w:ind w:right="0" w:firstLine="0"/>
        <w:jc w:val="left"/>
        <w:rPr>
          <w:sz w:val="11"/>
          <w:szCs w:val="11"/>
        </w:rPr>
      </w:pPr>
      <w:r>
        <w:rPr>
          <w:rStyle w:val="CharStyle20"/>
        </w:rPr>
        <w:t xml:space="preserve">Кому </w:t>
      </w:r>
      <w:r>
        <w:rPr>
          <w:rStyle w:val="CharStyle20"/>
          <w:color w:val="555555"/>
        </w:rPr>
        <w:t xml:space="preserve">выдан: </w:t>
      </w:r>
      <w:r>
        <w:rPr>
          <w:rStyle w:val="CharStyle20"/>
          <w:color w:val="000000"/>
          <w:sz w:val="11"/>
          <w:szCs w:val="11"/>
        </w:rPr>
        <w:t>МАРТЬЯНОВА ЕЛЕНА ДМИТРИЕВНА</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Сертификат </w:t>
      </w:r>
      <w:r>
        <w:rPr>
          <w:rStyle w:val="CharStyle20"/>
          <w:color w:val="292929"/>
        </w:rPr>
        <w:t xml:space="preserve">№ </w:t>
      </w:r>
      <w:r>
        <w:rPr>
          <w:rStyle w:val="CharStyle20"/>
          <w:lang w:val="en-US" w:eastAsia="en-US"/>
        </w:rPr>
        <w:t>00EA3D636CED58A70F15417FA130B2F6C</w:t>
      </w:r>
      <w:r>
        <w:rPr>
          <w:rStyle w:val="CharStyle20"/>
          <w:lang w:val="en-US" w:eastAsia="en-US"/>
        </w:rPr>
        <w:t>B</w:t>
      </w:r>
    </w:p>
    <w:p>
      <w:pPr>
        <w:pStyle w:val="Style19"/>
        <w:keepNext w:val="0"/>
        <w:keepLines w:val="0"/>
        <w:widowControl w:val="0"/>
        <w:shd w:val="clear" w:color="auto" w:fill="auto"/>
        <w:bidi w:val="0"/>
        <w:spacing w:before="0" w:after="560" w:line="240" w:lineRule="auto"/>
        <w:ind w:right="0" w:firstLine="0"/>
        <w:jc w:val="left"/>
      </w:pPr>
      <w:r>
        <w:rPr>
          <w:rStyle w:val="CharStyle20"/>
        </w:rPr>
        <w:t xml:space="preserve">Действителен с </w:t>
      </w:r>
      <w:r>
        <w:rPr>
          <w:rStyle w:val="CharStyle20"/>
          <w:color w:val="555555"/>
        </w:rPr>
        <w:t>20.04.2026 по 14.07.2027</w:t>
      </w:r>
    </w:p>
    <w:p>
      <w:pPr>
        <w:pStyle w:val="Style11"/>
        <w:keepNext w:val="0"/>
        <w:keepLines w:val="0"/>
        <w:widowControl w:val="0"/>
        <w:shd w:val="clear" w:color="auto" w:fill="auto"/>
        <w:bidi w:val="0"/>
        <w:spacing w:before="0" w:after="80" w:line="240" w:lineRule="auto"/>
        <w:ind w:left="0" w:right="0" w:firstLine="0"/>
        <w:jc w:val="left"/>
      </w:pPr>
      <w:r>
        <w:rPr>
          <w:rStyle w:val="CharStyle12"/>
        </w:rPr>
        <w:t>Члены Комиссии:</w:t>
      </w:r>
    </w:p>
    <w:p>
      <w:pPr>
        <w:pStyle w:val="Style11"/>
        <w:keepNext w:val="0"/>
        <w:keepLines w:val="0"/>
        <w:widowControl w:val="0"/>
        <w:shd w:val="clear" w:color="auto" w:fill="auto"/>
        <w:bidi w:val="0"/>
        <w:spacing w:before="0" w:after="390" w:line="240" w:lineRule="auto"/>
        <w:ind w:left="0" w:right="0" w:firstLine="820"/>
        <w:jc w:val="left"/>
      </w:pPr>
      <w:r>
        <w:drawing>
          <wp:anchor distT="0" distB="0" distL="114300" distR="1900555" simplePos="0" relativeHeight="125829385" behindDoc="0" locked="0" layoutInCell="1" allowOverlap="1">
            <wp:simplePos x="0" y="0"/>
            <wp:positionH relativeFrom="page">
              <wp:posOffset>3105150</wp:posOffset>
            </wp:positionH>
            <wp:positionV relativeFrom="paragraph">
              <wp:posOffset>50800</wp:posOffset>
            </wp:positionV>
            <wp:extent cx="359410" cy="408305"/>
            <wp:wrapSquare wrapText="right"/>
            <wp:docPr id="34" name="Shape 34"/>
            <a:graphic xmlns:a="http://schemas.openxmlformats.org/drawingml/2006/main">
              <a:graphicData uri="http://schemas.openxmlformats.org/drawingml/2006/picture">
                <pic:pic xmlns:pic="http://schemas.openxmlformats.org/drawingml/2006/picture">
                  <pic:nvPicPr>
                    <pic:cNvPr id="35" name="Picture box 35"/>
                    <pic:cNvPicPr/>
                  </pic:nvPicPr>
                  <pic:blipFill>
                    <a:blip r:embed="rId23"/>
                    <a:stretch/>
                  </pic:blipFill>
                  <pic:spPr>
                    <a:xfrm>
                      <a:ext cx="359410" cy="40830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3525520</wp:posOffset>
                </wp:positionH>
                <wp:positionV relativeFrom="paragraph">
                  <wp:posOffset>148590</wp:posOffset>
                </wp:positionV>
                <wp:extent cx="1722120" cy="259080"/>
                <wp:wrapNone/>
                <wp:docPr id="36" name="Shape 36"/>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2" type="#_x0000_t202" style="position:absolute;margin-left:277.60000000000002pt;margin-top:11.700000000000001pt;width:135.59999999999999pt;height:20.400000000000002pt;z-index:251657733;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А.А. Матюшенко</w:t>
      </w:r>
    </w:p>
    <w:p>
      <w:pPr>
        <w:pStyle w:val="Style1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4520" w:right="0" w:firstLine="0"/>
        <w:jc w:val="left"/>
        <w:rPr>
          <w:sz w:val="11"/>
          <w:szCs w:val="11"/>
        </w:rPr>
      </w:pPr>
      <w:r>
        <w:rPr>
          <w:rStyle w:val="CharStyle20"/>
          <w:color w:val="FFFFFF"/>
          <w:sz w:val="11"/>
          <w:szCs w:val="11"/>
        </w:rPr>
        <w:t>СВЕДЕНИЯ О СЕРТИФИКАТЕ ЭП</w:t>
      </w:r>
    </w:p>
    <w:p>
      <w:pPr>
        <w:pStyle w:val="Style19"/>
        <w:keepNext w:val="0"/>
        <w:keepLines w:val="0"/>
        <w:widowControl w:val="0"/>
        <w:shd w:val="clear" w:color="auto" w:fill="auto"/>
        <w:bidi w:val="0"/>
        <w:spacing w:before="0" w:after="0" w:line="266" w:lineRule="auto"/>
        <w:ind w:right="0" w:firstLine="20"/>
        <w:jc w:val="left"/>
      </w:pPr>
      <w:r>
        <w:rPr>
          <w:rStyle w:val="CharStyle20"/>
        </w:rPr>
        <w:t xml:space="preserve">Кому выдан: </w:t>
      </w:r>
      <w:r>
        <w:rPr>
          <w:rStyle w:val="CharStyle20"/>
          <w:color w:val="000000"/>
          <w:sz w:val="11"/>
          <w:szCs w:val="11"/>
        </w:rPr>
        <w:t>Матюшенко Александр Александрович</w:t>
      </w:r>
      <w:r>
        <w:rPr>
          <w:rStyle w:val="CharStyle20"/>
          <w:color w:val="000000"/>
          <w:sz w:val="11"/>
          <w:szCs w:val="11"/>
        </w:rPr>
        <w:t xml:space="preserve"> </w:t>
      </w:r>
      <w:r>
        <w:rPr>
          <w:rStyle w:val="CharStyle20"/>
        </w:rPr>
        <w:t xml:space="preserve">Сертификат </w:t>
      </w:r>
      <w:r>
        <w:rPr>
          <w:rStyle w:val="CharStyle20"/>
          <w:color w:val="292929"/>
        </w:rPr>
        <w:t xml:space="preserve">№ </w:t>
      </w:r>
      <w:r>
        <w:rPr>
          <w:rStyle w:val="CharStyle20"/>
          <w:lang w:val="en-US" w:eastAsia="en-US"/>
        </w:rPr>
        <w:t>4F595A5C3E5ABB2DD77161F08559FC07</w:t>
      </w:r>
    </w:p>
    <w:p>
      <w:pPr>
        <w:pStyle w:val="Style19"/>
        <w:keepNext w:val="0"/>
        <w:keepLines w:val="0"/>
        <w:widowControl w:val="0"/>
        <w:shd w:val="clear" w:color="auto" w:fill="auto"/>
        <w:bidi w:val="0"/>
        <w:spacing w:before="0" w:after="560" w:line="266" w:lineRule="auto"/>
        <w:ind w:right="0" w:firstLine="20"/>
        <w:jc w:val="left"/>
      </w:pPr>
      <w:r>
        <w:rPr>
          <w:rStyle w:val="CharStyle20"/>
        </w:rPr>
        <w:t xml:space="preserve">Действителен с 22.07.2025 </w:t>
      </w:r>
      <w:r>
        <w:rPr>
          <w:rStyle w:val="CharStyle20"/>
          <w:color w:val="555555"/>
        </w:rPr>
        <w:t xml:space="preserve">по </w:t>
      </w:r>
      <w:r>
        <w:rPr>
          <w:rStyle w:val="CharStyle20"/>
        </w:rPr>
        <w:t>15.10.2026</w:t>
      </w:r>
    </w:p>
    <w:p>
      <w:pPr>
        <w:pStyle w:val="Style11"/>
        <w:keepNext w:val="0"/>
        <w:keepLines w:val="0"/>
        <w:widowControl w:val="0"/>
        <w:shd w:val="clear" w:color="auto" w:fill="auto"/>
        <w:bidi w:val="0"/>
        <w:spacing w:before="0" w:after="390" w:line="240" w:lineRule="auto"/>
        <w:ind w:left="1180" w:right="0" w:firstLine="0"/>
        <w:jc w:val="left"/>
      </w:pPr>
      <w:r>
        <w:drawing>
          <wp:anchor distT="0" distB="0" distL="114300" distR="1900555" simplePos="0" relativeHeight="125829386" behindDoc="0" locked="0" layoutInCell="1" allowOverlap="1">
            <wp:simplePos x="0" y="0"/>
            <wp:positionH relativeFrom="page">
              <wp:posOffset>3105150</wp:posOffset>
            </wp:positionH>
            <wp:positionV relativeFrom="paragraph">
              <wp:posOffset>63500</wp:posOffset>
            </wp:positionV>
            <wp:extent cx="359410" cy="396240"/>
            <wp:wrapSquare wrapText="right"/>
            <wp:docPr id="38" name="Shape 38"/>
            <a:graphic xmlns:a="http://schemas.openxmlformats.org/drawingml/2006/main">
              <a:graphicData uri="http://schemas.openxmlformats.org/drawingml/2006/picture">
                <pic:pic xmlns:pic="http://schemas.openxmlformats.org/drawingml/2006/picture">
                  <pic:nvPicPr>
                    <pic:cNvPr id="39" name="Picture box 39"/>
                    <pic:cNvPicPr/>
                  </pic:nvPicPr>
                  <pic:blipFill>
                    <a:blip r:embed="rId25"/>
                    <a:stretch/>
                  </pic:blipFill>
                  <pic:spPr>
                    <a:xfrm>
                      <a:ext cx="359410" cy="39624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3522980</wp:posOffset>
                </wp:positionH>
                <wp:positionV relativeFrom="paragraph">
                  <wp:posOffset>151765</wp:posOffset>
                </wp:positionV>
                <wp:extent cx="1725295" cy="259080"/>
                <wp:wrapNone/>
                <wp:docPr id="40" name="Shape 40"/>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6" type="#_x0000_t202" style="position:absolute;margin-left:277.40000000000003pt;margin-top:11.950000000000001pt;width:135.84999999999999pt;height:20.40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М.О. Мацнева</w:t>
      </w:r>
    </w:p>
    <w:p>
      <w:pPr>
        <w:pStyle w:val="Style1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4520" w:right="0" w:firstLine="0"/>
        <w:jc w:val="left"/>
        <w:rPr>
          <w:sz w:val="11"/>
          <w:szCs w:val="11"/>
        </w:rPr>
      </w:pPr>
      <w:r>
        <w:rPr>
          <w:rStyle w:val="CharStyle20"/>
          <w:color w:val="FFFFFF"/>
          <w:sz w:val="11"/>
          <w:szCs w:val="11"/>
        </w:rPr>
        <w:t>СВЕДЕНИЯ О СЕРТИФИКАТЕ ЭП</w:t>
      </w:r>
    </w:p>
    <w:p>
      <w:pPr>
        <w:pStyle w:val="Style19"/>
        <w:keepNext w:val="0"/>
        <w:keepLines w:val="0"/>
        <w:widowControl w:val="0"/>
        <w:shd w:val="clear" w:color="auto" w:fill="auto"/>
        <w:bidi w:val="0"/>
        <w:spacing w:before="0" w:after="0" w:line="240" w:lineRule="auto"/>
        <w:ind w:right="0" w:firstLine="0"/>
        <w:jc w:val="left"/>
        <w:rPr>
          <w:sz w:val="11"/>
          <w:szCs w:val="11"/>
        </w:rPr>
      </w:pPr>
      <w:r>
        <w:rPr>
          <w:rStyle w:val="CharStyle20"/>
        </w:rPr>
        <w:t xml:space="preserve">Кому выдан: </w:t>
      </w:r>
      <w:r>
        <w:rPr>
          <w:rStyle w:val="CharStyle20"/>
          <w:color w:val="000000"/>
          <w:sz w:val="11"/>
          <w:szCs w:val="11"/>
        </w:rPr>
        <w:t>Мацнева Мария Олеговна</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Сертификат </w:t>
      </w:r>
      <w:r>
        <w:rPr>
          <w:rStyle w:val="CharStyle20"/>
          <w:color w:val="292929"/>
        </w:rPr>
        <w:t xml:space="preserve">№ </w:t>
      </w:r>
      <w:r>
        <w:rPr>
          <w:rStyle w:val="CharStyle20"/>
          <w:lang w:val="en-US" w:eastAsia="en-US"/>
        </w:rPr>
        <w:t>00FDA1C988AAB27A9A34756B8D5F1D853</w:t>
      </w:r>
      <w:r>
        <w:rPr>
          <w:rStyle w:val="CharStyle20"/>
          <w:lang w:val="en-US" w:eastAsia="en-US"/>
        </w:rPr>
        <w:t>A</w:t>
      </w:r>
    </w:p>
    <w:p>
      <w:pPr>
        <w:pStyle w:val="Style19"/>
        <w:keepNext w:val="0"/>
        <w:keepLines w:val="0"/>
        <w:widowControl w:val="0"/>
        <w:shd w:val="clear" w:color="auto" w:fill="auto"/>
        <w:bidi w:val="0"/>
        <w:spacing w:before="0" w:after="4100" w:line="240" w:lineRule="auto"/>
        <w:ind w:right="0" w:firstLine="0"/>
        <w:jc w:val="left"/>
      </w:pPr>
      <w:r>
        <w:rPr>
          <w:rStyle w:val="CharStyle20"/>
        </w:rPr>
        <w:t xml:space="preserve">Действителен с 22.07.2025 </w:t>
      </w:r>
      <w:r>
        <w:rPr>
          <w:rStyle w:val="CharStyle20"/>
          <w:color w:val="555555"/>
        </w:rPr>
        <w:t xml:space="preserve">по </w:t>
      </w:r>
      <w:r>
        <w:rPr>
          <w:rStyle w:val="CharStyle20"/>
        </w:rPr>
        <w:t>15.10.2026</w:t>
      </w:r>
    </w:p>
    <w:p>
      <w:pPr>
        <w:pStyle w:val="Style25"/>
        <w:keepNext w:val="0"/>
        <w:keepLines w:val="0"/>
        <w:widowControl w:val="0"/>
        <w:shd w:val="clear" w:color="auto" w:fill="auto"/>
        <w:bidi w:val="0"/>
        <w:spacing w:before="0" w:line="240" w:lineRule="auto"/>
        <w:ind w:left="0" w:right="0" w:firstLine="0"/>
        <w:jc w:val="left"/>
      </w:pPr>
      <w:r>
        <w:rPr>
          <w:rStyle w:val="CharStyle26"/>
        </w:rPr>
        <w:t>Исп. Матюшенко А.А., 8(495) 784-75-05</w:t>
      </w:r>
    </w:p>
    <w:sectPr>
      <w:footnotePr>
        <w:pos w:val="pageBottom"/>
        <w:numFmt w:val="decimal"/>
        <w:numRestart w:val="continuous"/>
      </w:footnotePr>
      <w:type w:val="continuous"/>
      <w:pgSz w:w="11900" w:h="16840"/>
      <w:pgMar w:top="1158" w:right="532" w:bottom="1158"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724535</wp:posOffset>
              </wp:positionH>
              <wp:positionV relativeFrom="page">
                <wp:posOffset>10092690</wp:posOffset>
              </wp:positionV>
              <wp:extent cx="722630" cy="103505"/>
              <wp:wrapNone/>
              <wp:docPr id="4" name="Shape 4"/>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2026-24192</w:t>
                          </w:r>
                        </w:p>
                      </w:txbxContent>
                    </wps:txbx>
                    <wps:bodyPr wrap="none" lIns="0" tIns="0" rIns="0" bIns="0">
                      <a:spAutoFit/>
                    </wps:bodyPr>
                  </wps:wsp>
                </a:graphicData>
              </a:graphic>
            </wp:anchor>
          </w:drawing>
        </mc:Choice>
        <mc:Fallback>
          <w:pict>
            <v:shape id="_x0000_s1030" type="#_x0000_t202" style="position:absolute;margin-left:57.050000000000004pt;margin-top:794.70000000000005pt;width:56.89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2026-24192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10247630</wp:posOffset>
              </wp:positionV>
              <wp:extent cx="719455" cy="94615"/>
              <wp:wrapNone/>
              <wp:docPr id="6" name="Shape 6"/>
              <a:graphic xmlns:a="http://schemas.openxmlformats.org/drawingml/2006/main">
                <a:graphicData uri="http://schemas.microsoft.com/office/word/2010/wordprocessingShape">
                  <wps:wsp>
                    <wps:cNvSpPr txBox="1"/>
                    <wps:spPr>
                      <a:xfrm>
                        <a:ext cx="719455" cy="946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2026-24192</w:t>
                          </w:r>
                        </w:p>
                      </w:txbxContent>
                    </wps:txbx>
                    <wps:bodyPr wrap="none" lIns="0" tIns="0" rIns="0" bIns="0">
                      <a:spAutoFit/>
                    </wps:bodyPr>
                  </wps:wsp>
                </a:graphicData>
              </a:graphic>
            </wp:anchor>
          </w:drawing>
        </mc:Choice>
        <mc:Fallback>
          <w:pict>
            <v:shape id="_x0000_s1032" type="#_x0000_t202" style="position:absolute;margin-left:57.pt;margin-top:806.89999999999998pt;width:56.649999999999999pt;height:7.4500000000000002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2026-24192</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724535</wp:posOffset>
              </wp:positionH>
              <wp:positionV relativeFrom="page">
                <wp:posOffset>10092690</wp:posOffset>
              </wp:positionV>
              <wp:extent cx="722630" cy="103505"/>
              <wp:wrapNone/>
              <wp:docPr id="16" name="Shape 16"/>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2026-24192</w:t>
                          </w:r>
                        </w:p>
                      </w:txbxContent>
                    </wps:txbx>
                    <wps:bodyPr wrap="none" lIns="0" tIns="0" rIns="0" bIns="0">
                      <a:spAutoFit/>
                    </wps:bodyPr>
                  </wps:wsp>
                </a:graphicData>
              </a:graphic>
            </wp:anchor>
          </w:drawing>
        </mc:Choice>
        <mc:Fallback>
          <w:pict>
            <v:shape id="_x0000_s1042" type="#_x0000_t202" style="position:absolute;margin-left:57.050000000000004pt;margin-top:794.70000000000005pt;width:56.899999999999999pt;height:8.1500000000000004pt;z-index:-18874405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2026-24192</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7" behindDoc="1" locked="0" layoutInCell="1" allowOverlap="1">
              <wp:simplePos x="0" y="0"/>
              <wp:positionH relativeFrom="page">
                <wp:posOffset>724535</wp:posOffset>
              </wp:positionH>
              <wp:positionV relativeFrom="page">
                <wp:posOffset>10092690</wp:posOffset>
              </wp:positionV>
              <wp:extent cx="722630" cy="103505"/>
              <wp:wrapNone/>
              <wp:docPr id="22" name="Shape 22"/>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2026-24192</w:t>
                          </w:r>
                        </w:p>
                      </w:txbxContent>
                    </wps:txbx>
                    <wps:bodyPr wrap="none" lIns="0" tIns="0" rIns="0" bIns="0">
                      <a:spAutoFit/>
                    </wps:bodyPr>
                  </wps:wsp>
                </a:graphicData>
              </a:graphic>
            </wp:anchor>
          </w:drawing>
        </mc:Choice>
        <mc:Fallback>
          <w:pict>
            <v:shape id="_x0000_s1048" type="#_x0000_t202" style="position:absolute;margin-left:57.050000000000004pt;margin-top:794.70000000000005pt;width:56.899999999999999pt;height:8.1500000000000004pt;z-index:-18874404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2026-24192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3921760</wp:posOffset>
              </wp:positionH>
              <wp:positionV relativeFrom="page">
                <wp:posOffset>402590</wp:posOffset>
              </wp:positionV>
              <wp:extent cx="76200" cy="69850"/>
              <wp:wrapNone/>
              <wp:docPr id="2" name="Shape 2"/>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8.80000000000001pt;margin-top:31.699999999999999pt;width:6.pt;height:5.5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3924300</wp:posOffset>
              </wp:positionH>
              <wp:positionV relativeFrom="page">
                <wp:posOffset>509270</wp:posOffset>
              </wp:positionV>
              <wp:extent cx="69850" cy="69850"/>
              <wp:wrapNone/>
              <wp:docPr id="12" name="Shape 12"/>
              <a:graphic xmlns:a="http://schemas.openxmlformats.org/drawingml/2006/main">
                <a:graphicData uri="http://schemas.microsoft.com/office/word/2010/wordprocessingShape">
                  <wps:wsp>
                    <wps:cNvSpPr txBox="1"/>
                    <wps:spPr>
                      <a:xfrm>
                        <a:ext cx="6985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8" type="#_x0000_t202" style="position:absolute;margin-left:309.pt;margin-top:40.100000000000001pt;width:5.5pt;height:5.5pt;z-index:-18874405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3921760</wp:posOffset>
              </wp:positionH>
              <wp:positionV relativeFrom="page">
                <wp:posOffset>402590</wp:posOffset>
              </wp:positionV>
              <wp:extent cx="76200" cy="69850"/>
              <wp:wrapNone/>
              <wp:docPr id="14" name="Shape 14"/>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40" type="#_x0000_t202" style="position:absolute;margin-left:308.80000000000001pt;margin-top:31.699999999999999pt;width:6.pt;height:5.5pt;z-index:-18874405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3" behindDoc="1" locked="0" layoutInCell="1" allowOverlap="1">
              <wp:simplePos x="0" y="0"/>
              <wp:positionH relativeFrom="page">
                <wp:posOffset>3924300</wp:posOffset>
              </wp:positionH>
              <wp:positionV relativeFrom="page">
                <wp:posOffset>509270</wp:posOffset>
              </wp:positionV>
              <wp:extent cx="69850" cy="69850"/>
              <wp:wrapNone/>
              <wp:docPr id="18" name="Shape 18"/>
              <a:graphic xmlns:a="http://schemas.openxmlformats.org/drawingml/2006/main">
                <a:graphicData uri="http://schemas.microsoft.com/office/word/2010/wordprocessingShape">
                  <wps:wsp>
                    <wps:cNvSpPr txBox="1"/>
                    <wps:spPr>
                      <a:xfrm>
                        <a:ext cx="6985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44" type="#_x0000_t202" style="position:absolute;margin-left:309.pt;margin-top:40.100000000000001pt;width:5.5pt;height:5.5pt;z-index:-18874405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5" behindDoc="1" locked="0" layoutInCell="1" allowOverlap="1">
              <wp:simplePos x="0" y="0"/>
              <wp:positionH relativeFrom="page">
                <wp:posOffset>3921760</wp:posOffset>
              </wp:positionH>
              <wp:positionV relativeFrom="page">
                <wp:posOffset>402590</wp:posOffset>
              </wp:positionV>
              <wp:extent cx="76200" cy="69850"/>
              <wp:wrapNone/>
              <wp:docPr id="20" name="Shape 20"/>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46" type="#_x0000_t202" style="position:absolute;margin-left:308.80000000000001pt;margin-top:31.699999999999999pt;width:6.pt;height:5.5pt;z-index:-18874404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Picture caption_"/>
    <w:basedOn w:val="DefaultParagraphFont"/>
    <w:link w:val="Style16"/>
    <w:rPr>
      <w:rFonts w:ascii="Georgia" w:eastAsia="Georgia" w:hAnsi="Georgia" w:cs="Georgia"/>
      <w:b w:val="0"/>
      <w:bCs w:val="0"/>
      <w:i w:val="0"/>
      <w:iCs w:val="0"/>
      <w:smallCaps w:val="0"/>
      <w:strike w:val="0"/>
      <w:color w:val="292929"/>
      <w:sz w:val="11"/>
      <w:szCs w:val="11"/>
      <w:u w:val="none"/>
    </w:rPr>
  </w:style>
  <w:style w:type="character" w:customStyle="1" w:styleId="CharStyle20">
    <w:name w:val="Body text (2)_"/>
    <w:basedOn w:val="DefaultParagraphFont"/>
    <w:link w:val="Style19"/>
    <w:rPr>
      <w:rFonts w:ascii="Arial" w:eastAsia="Arial" w:hAnsi="Arial" w:cs="Arial"/>
      <w:b w:val="0"/>
      <w:bCs w:val="0"/>
      <w:i w:val="0"/>
      <w:iCs w:val="0"/>
      <w:smallCaps w:val="0"/>
      <w:strike w:val="0"/>
      <w:color w:val="414141"/>
      <w:sz w:val="12"/>
      <w:szCs w:val="12"/>
      <w:u w:val="none"/>
    </w:rPr>
  </w:style>
  <w:style w:type="character" w:customStyle="1" w:styleId="CharStyle26">
    <w:name w:val="Body text (4)_"/>
    <w:basedOn w:val="DefaultParagraphFont"/>
    <w:link w:val="Style25"/>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customStyle="1" w:styleId="Style9">
    <w:name w:val="Heading #1"/>
    <w:basedOn w:val="Normal"/>
    <w:link w:val="CharStyle10"/>
    <w:pPr>
      <w:widowControl w:val="0"/>
      <w:shd w:val="clear" w:color="auto" w:fill="auto"/>
      <w:jc w:val="center"/>
      <w:outlineLvl w:val="0"/>
    </w:pPr>
    <w:rPr>
      <w:rFonts w:ascii="Times New Roman" w:eastAsia="Times New Roman" w:hAnsi="Times New Roman" w:cs="Times New Roman"/>
      <w:b w:val="0"/>
      <w:bCs w:val="0"/>
      <w:i w:val="0"/>
      <w:iCs w:val="0"/>
      <w:smallCaps w:val="0"/>
      <w:strike w:val="0"/>
      <w:sz w:val="30"/>
      <w:szCs w:val="30"/>
      <w:u w:val="none"/>
    </w:rPr>
  </w:style>
  <w:style w:type="paragraph" w:styleId="Style11">
    <w:name w:val="Body text"/>
    <w:basedOn w:val="Normal"/>
    <w:link w:val="CharStyle12"/>
    <w:qFormat/>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Picture caption"/>
    <w:basedOn w:val="Normal"/>
    <w:link w:val="CharStyle1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9">
    <w:name w:val="Body text (2)"/>
    <w:basedOn w:val="Normal"/>
    <w:link w:val="CharStyle20"/>
    <w:pPr>
      <w:widowControl w:val="0"/>
      <w:shd w:val="clear" w:color="auto" w:fill="auto"/>
      <w:spacing w:after="40"/>
      <w:ind w:left="3800"/>
    </w:pPr>
    <w:rPr>
      <w:rFonts w:ascii="Arial" w:eastAsia="Arial" w:hAnsi="Arial" w:cs="Arial"/>
      <w:b w:val="0"/>
      <w:bCs w:val="0"/>
      <w:i w:val="0"/>
      <w:iCs w:val="0"/>
      <w:smallCaps w:val="0"/>
      <w:strike w:val="0"/>
      <w:color w:val="414141"/>
      <w:sz w:val="12"/>
      <w:szCs w:val="12"/>
      <w:u w:val="none"/>
    </w:rPr>
  </w:style>
  <w:style w:type="paragraph" w:customStyle="1" w:styleId="Style25">
    <w:name w:val="Body text (4)"/>
    <w:basedOn w:val="Normal"/>
    <w:link w:val="CharStyle26"/>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 Id="rId21" Type="http://schemas.openxmlformats.org/officeDocument/2006/relationships/image" Target="media/image3.jpeg"/><Relationship Id="rId22" Type="http://schemas.openxmlformats.org/officeDocument/2006/relationships/image" Target="media/image3.jpeg" TargetMode="External"/><Relationship Id="rId23" Type="http://schemas.openxmlformats.org/officeDocument/2006/relationships/image" Target="media/image4.jpeg"/><Relationship Id="rId24" Type="http://schemas.openxmlformats.org/officeDocument/2006/relationships/image" Target="media/image4.jpeg" TargetMode="External"/><Relationship Id="rId25" Type="http://schemas.openxmlformats.org/officeDocument/2006/relationships/image" Target="media/image5.jpeg"/><Relationship Id="rId26" Type="http://schemas.openxmlformats.org/officeDocument/2006/relationships/image" Target="media/image5.jpeg" TargetMode="External"/></Relationships>
</file>