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2"/>
        <w:keepNext w:val="0"/>
        <w:keepLines w:val="0"/>
        <w:framePr w:w="3547" w:h="2136" w:wrap="none" w:hAnchor="page" w:x="1453" w:y="1129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пр. Мира, 81 д, г. Красноярск, 660017</w:t>
        <w:br/>
        <w:t>тел. (391) 211-00-00, факс (391) 211-01-14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3"/>
          <w:lang w:val="en-US" w:eastAsia="en-US"/>
        </w:rPr>
        <w:t>to24@fas.gov.ru</w:t>
      </w:r>
      <w:r>
        <w:fldChar w:fldCharType="end"/>
      </w:r>
    </w:p>
    <w:p>
      <w:pPr>
        <w:pStyle w:val="Style5"/>
        <w:keepNext w:val="0"/>
        <w:keepLines w:val="0"/>
        <w:framePr w:w="235" w:h="274" w:wrap="none" w:hAnchor="page" w:x="3118" w:y="3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4460A1"/>
        </w:rPr>
        <w:t>№</w:t>
      </w:r>
    </w:p>
    <w:p>
      <w:pPr>
        <w:pStyle w:val="Style8"/>
        <w:keepNext w:val="0"/>
        <w:keepLines w:val="0"/>
        <w:framePr w:w="226" w:h="226" w:wrap="none" w:hAnchor="page" w:x="3133" w:y="4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от</w:t>
      </w:r>
    </w:p>
    <w:p>
      <w:pPr>
        <w:pStyle w:val="Style10"/>
        <w:keepNext w:val="0"/>
        <w:keepLines w:val="0"/>
        <w:framePr w:w="490" w:h="226" w:wrap="none" w:hAnchor="page" w:x="1136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На№</w:t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«ПРОСОФТ»</w:t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ул. Глинки, д. 46, г. Красноярск, 660031 </w:t>
      </w:r>
      <w:r>
        <w:fldChar w:fldCharType="begin"/>
      </w:r>
      <w:r>
        <w:rPr/>
        <w:instrText> HYPERLINK "mailto:axel-c@mail.ru" </w:instrText>
      </w:r>
      <w:r>
        <w:fldChar w:fldCharType="separate"/>
      </w:r>
      <w:r>
        <w:rPr>
          <w:rStyle w:val="CharStyle13"/>
          <w:lang w:val="en-US" w:eastAsia="en-US"/>
        </w:rPr>
        <w:t>axel-c@mail.ru</w:t>
      </w:r>
      <w:r>
        <w:fldChar w:fldCharType="end"/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КГБУЗ «Красноярская межрайонная поликлиника № 1»</w:t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ул. Академика Павлова, д. 4, стр. 7, г. Красноярск, 660003 </w:t>
      </w:r>
      <w:r>
        <w:fldChar w:fldCharType="begin"/>
      </w:r>
      <w:r>
        <w:rPr/>
        <w:instrText> HYPERLINK "mailto:gp1@gp1.krasnoyarsk.ru" </w:instrText>
      </w:r>
      <w:r>
        <w:fldChar w:fldCharType="separate"/>
      </w:r>
      <w:r>
        <w:rPr>
          <w:rStyle w:val="CharStyle13"/>
          <w:lang w:val="en-US" w:eastAsia="en-US"/>
        </w:rPr>
        <w:t>gp1@gp1.krasnoyarsk.ru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"mailto:office@kmp1.ru" </w:instrText>
      </w:r>
      <w:r>
        <w:fldChar w:fldCharType="separate"/>
      </w:r>
      <w:r>
        <w:rPr>
          <w:rStyle w:val="CharStyle13"/>
          <w:lang w:val="en-US" w:eastAsia="en-US"/>
        </w:rPr>
        <w:t>office@kmp1.ru</w:t>
      </w:r>
      <w:r>
        <w:fldChar w:fldCharType="end"/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Агентство государственного заказа</w:t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Красноярского края пр-т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3"/>
          <w:lang w:val="en-US" w:eastAsia="en-US"/>
        </w:rPr>
        <w:t>agz_priem@mail.ru</w:t>
      </w:r>
      <w:r>
        <w:fldChar w:fldCharType="end"/>
      </w:r>
      <w:r>
        <w:rPr>
          <w:rStyle w:val="CharStyle13"/>
          <w:lang w:val="en-US" w:eastAsia="en-US"/>
        </w:rPr>
        <w:t>;</w:t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"mailto:agz_lavrov@mail.ru" </w:instrText>
      </w:r>
      <w:r>
        <w:fldChar w:fldCharType="separate"/>
      </w:r>
      <w:r>
        <w:rPr>
          <w:rStyle w:val="CharStyle13"/>
          <w:lang w:val="en-US" w:eastAsia="en-US"/>
        </w:rPr>
        <w:t>agz_lavrov@mail.ru</w:t>
      </w:r>
      <w:r>
        <w:fldChar w:fldCharType="end"/>
      </w:r>
    </w:p>
    <w:p>
      <w:pPr>
        <w:pStyle w:val="Style12"/>
        <w:keepNext w:val="0"/>
        <w:keepLines w:val="0"/>
        <w:framePr w:w="4416" w:h="6048" w:wrap="none" w:hAnchor="page" w:x="6406" w:y="884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3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5135" distB="0" distL="0" distR="103505" simplePos="0" relativeHeight="62914691" behindDoc="1" locked="0" layoutInCell="1" allowOverlap="1">
            <wp:simplePos x="0" y="0"/>
            <wp:positionH relativeFrom="page">
              <wp:posOffset>708660</wp:posOffset>
            </wp:positionH>
            <wp:positionV relativeFrom="margin">
              <wp:posOffset>3069590</wp:posOffset>
            </wp:positionV>
            <wp:extent cx="219710" cy="21336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3122295</wp:posOffset>
            </wp:positionH>
            <wp:positionV relativeFrom="margin">
              <wp:posOffset>3066415</wp:posOffset>
            </wp:positionV>
            <wp:extent cx="219710" cy="2197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197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  <w:sectPr>
          <w:footerReference w:type="defaul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532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8" w:right="0" w:bottom="12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</w:rPr>
        <w:t>Решение № 024/06/105-1507/2026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6198235</wp:posOffset>
                </wp:positionH>
                <wp:positionV relativeFrom="paragraph">
                  <wp:posOffset>12700</wp:posOffset>
                </wp:positionV>
                <wp:extent cx="984250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8.05000000000001pt;margin-top:1.pt;width:77.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13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Комиссия Красноярского УФАС России по контролю в сфере закупок в составе: Председатель Комиссии — Е.О. Хорышев, начальник отдела, члены комиссии: К.С. Варава, заместитель начальника отдела, Н.С. Криворучкин, ведущий специалист-эксперт (далее — Комиссия), рассмотрев жалобу ООО «ПРОСОФТ» (далее — податель жалобы) на действия котировочной комиссии заказчика — КГБУЗ «Красноярская межрайонная поликлиника № 1», уполномоченного органа — Агентства государственного заказа Красноярского края (далее — уполномоченный орган) при проведении запроса котировок в электронной форме ЗК-№-6528/26 «Поставка системных блоков» (далее — запрос котировок), извещение № 0119200000126007080 ИКЗ 262246111446924610100100370012620244 на электронной торговой площадке АО «Сбербанк-АСТ» (далее — оператор электронной площадки),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Существо жалобы: нарушение закупочной комиссией порядка рассмотрения заявок при проведении запроса котировок, предусмотренного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3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8"/>
        </w:rPr>
        <w:t>IIIIIIIIIIIIIIIIIIIIIIII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адрес подателя жалобы, заказчика, уполномоченного органа было направлено уведомление о содержании жалобы с информацией о месте и времени ее рассмотрения.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Перед рассмотрением жалобы в адрес Комиссии поступило ходатайство подателя жалобы о рассмотрении жалобы в его отсутствие, указанное ходатайство было рассмотрено и удовлетворено.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Заседание Комиссии по рассмотрению жалобы по существу состоялось </w:t>
      </w:r>
      <w:r>
        <w:rPr>
          <w:rStyle w:val="CharStyle13"/>
          <w:lang w:val="en-US" w:eastAsia="en-US"/>
        </w:rPr>
        <w:t xml:space="preserve">13.05.2026 </w:t>
      </w:r>
      <w:r>
        <w:rPr>
          <w:rStyle w:val="CharStyle13"/>
        </w:rPr>
        <w:t xml:space="preserve">в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часов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>минут (время местное) в присутствии представителей заказчика, уполномоченного органа, надлежащим образом подтвердивших свои личности и полномочия.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жалобы следует, что, по мнению подателя жалобы, заказчик необоснованно отклонил заявку подателя жалобы по основанию, предусмотренному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Уполномоченным органом были представлены письменные возражения в отношении доводов жалобы, из которых следует, что рассмотрение заявок на участие в закупке проведено правомерно.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связи с возникшей потребностью у заказчика уполномоченным органом были совершены действия по проведению запроса котировок.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Объектом закупки, исходя из извещения </w:t>
      </w:r>
      <w:r>
        <w:rPr>
          <w:rStyle w:val="CharStyle13"/>
          <w:lang w:val="en-US" w:eastAsia="en-US"/>
        </w:rPr>
        <w:t xml:space="preserve">№ 0119200000126007080, </w:t>
      </w:r>
      <w:r>
        <w:rPr>
          <w:rStyle w:val="CharStyle13"/>
        </w:rPr>
        <w:t>является поставка системных блоков для нужд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извещение об осуществлении закупки должно содержать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Так как объектом закупки является поставка системных блоков (код ОКПД </w:t>
      </w:r>
      <w:r>
        <w:rPr>
          <w:rStyle w:val="CharStyle13"/>
          <w:lang w:val="en-US" w:eastAsia="en-US"/>
        </w:rPr>
        <w:t xml:space="preserve">2: 26.20.15.000), </w:t>
      </w:r>
      <w:r>
        <w:rPr>
          <w:rStyle w:val="CharStyle13"/>
        </w:rPr>
        <w:t xml:space="preserve">и сведения о товаре, входящем в состав объекта закупки, имеются в Приложении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 xml:space="preserve">(позиция </w:t>
      </w:r>
      <w:r>
        <w:rPr>
          <w:rStyle w:val="CharStyle13"/>
          <w:lang w:val="en-US" w:eastAsia="en-US"/>
        </w:rPr>
        <w:t xml:space="preserve">№ 199), </w:t>
      </w:r>
      <w:r>
        <w:rPr>
          <w:rStyle w:val="CharStyle13"/>
        </w:rPr>
        <w:t>то в извещении об осуществлении закупки установлено ограничение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пункта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Закона о контрактной системе заявка на участие в закупке должна содержать информацию и документы, подтверждающие страну происхождения товара.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подпунктом «а»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 все заявки на участие в закупке, содержащие предложения о поставке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рассмотрения признана соответствующей требованиям извещения об осуществлении закупки, документации о закупке заявка, содержащая предложение о поставке товара российского происхождения.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Заявка подателя жалобы была отклонена котировочной комиссией на основании пункта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системе, так как представленный в составе заявки номер реестровой записи из реестра российской промышленной продукции на товар распространяется только на набор товаров, указанный в такой реестровой записи, и информация о номере реестровой записи не может являться подтверждением страны происхождения отдельных товаров, так как такой товар является лишь составной частью набора.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Податель жалобы полагает, что его заявка была отклонена неправомерно, так как представленная им реестровая запись </w:t>
      </w:r>
      <w:r>
        <w:rPr>
          <w:rStyle w:val="CharStyle13"/>
          <w:lang w:val="en-US" w:eastAsia="en-US"/>
        </w:rPr>
        <w:t xml:space="preserve">№ 10623172 </w:t>
      </w:r>
      <w:r>
        <w:rPr>
          <w:rStyle w:val="CharStyle13"/>
        </w:rPr>
        <w:t xml:space="preserve">(код ОКПД2 </w:t>
      </w:r>
      <w:r>
        <w:rPr>
          <w:rStyle w:val="CharStyle13"/>
          <w:lang w:val="en-US" w:eastAsia="en-US"/>
        </w:rPr>
        <w:t xml:space="preserve">26.20.15) </w:t>
      </w:r>
      <w:r>
        <w:rPr>
          <w:rStyle w:val="CharStyle13"/>
        </w:rPr>
        <w:t>на персональную электронно-вычислительную машину подтверждает страну происхождения системного блока.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Действующая правоприменительная практика исходит из того, что реестровая запись распространяется только на полный состав товаров, указанный в такой реестровой записи, и информация о номере реестровой записи не может являться подтверждением страны происхождения отдельных товаров, так как такой товар является лишь составной частью (например, решение Красноярского УФАС России от </w:t>
      </w:r>
      <w:r>
        <w:rPr>
          <w:rStyle w:val="CharStyle13"/>
          <w:lang w:val="en-US" w:eastAsia="en-US"/>
        </w:rPr>
        <w:t xml:space="preserve">11.09.2025 </w:t>
      </w:r>
      <w:r>
        <w:rPr>
          <w:rStyle w:val="CharStyle13"/>
        </w:rPr>
        <w:t xml:space="preserve">по делу </w:t>
      </w:r>
      <w:r>
        <w:rPr>
          <w:rStyle w:val="CharStyle13"/>
          <w:lang w:val="en-US" w:eastAsia="en-US"/>
        </w:rPr>
        <w:t>N 024/06/106</w:t>
        <w:softHyphen/>
        <w:t>2581/2025).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Вместе с тем, согласно письму Минпромторга России от </w:t>
      </w:r>
      <w:r>
        <w:rPr>
          <w:rStyle w:val="CharStyle13"/>
          <w:lang w:val="en-US" w:eastAsia="en-US"/>
        </w:rPr>
        <w:t xml:space="preserve">21.01.2026 № </w:t>
      </w:r>
      <w:r>
        <w:rPr>
          <w:rStyle w:val="CharStyle13"/>
        </w:rPr>
        <w:t xml:space="preserve">ШВ-4233/11 реестровые записи в отношении промышленной продукции, классифицируемой кодом ОКПД2: </w:t>
      </w:r>
      <w:r>
        <w:rPr>
          <w:rStyle w:val="CharStyle13"/>
          <w:lang w:val="en-US" w:eastAsia="en-US"/>
        </w:rPr>
        <w:t xml:space="preserve">26.20.15.110 </w:t>
      </w:r>
      <w:r>
        <w:rPr>
          <w:rStyle w:val="CharStyle13"/>
        </w:rPr>
        <w:t>«Персональные электронно-вычислительные машины», продолжат действие в соответствии с установленным периодом соответствия, при этом данные реестровые записи будут подтверждать только выполнение требований к промышленной продукции, предъявляемых в целях ее отнесения к российской промышленной продукции, в части составных частей ПВЭМ, за которые были начислены баллы, например системный блок, моноблок. При этом такие реестровые записи не подтвердят соответствие требованиям периферийного оборудования, в частности мониторов, клавиатур, мышей и печатных устройств.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из вышеуказанного письма следует, что реестровая запись на персональную электронно-вычислительную машину также может подтверждать страну происхождения системного блока (так как он не является периферийным оборудованием).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Вместе с тем, Комиссия обращает внимание на то, что котировочная комиссия, отклоняя заявку подателя жалобы, исходила из сложившейся правоприменительной практики, в силу которой реестровые записи на товар не могут подтверждать страну происхождения составной части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Кроме того, из Протокола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04.05.2026 № </w:t>
      </w:r>
      <w:r>
        <w:rPr>
          <w:rStyle w:val="CharStyle13"/>
        </w:rPr>
        <w:t xml:space="preserve">ИЗК1 следует, что на участие в закупке было подано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заявок, две из них были отклонены по основанию, предусмотренному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Заявка подателя жалобы заняла последнее (седьмое) место.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Во всех заявках, признанных соответствующими, содержалось предложение к поставке товара российского происхождения.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Соответственно, признание заявки подателя жалобы соответствующей условиям извещения об осуществлении закупки не повлияет на итоги определения поставщика.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силу вышеуказанного, доводы подателя жалобы не находят своего подтверждения и признаются необоснованными.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3"/>
          <w:lang w:val="en-US" w:eastAsia="en-US"/>
        </w:rPr>
        <w:t xml:space="preserve">3, 15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Положением о ФАС России и Положением о территориальном органе ФАС России Комиссия Красноярского УФАС России решила признать жалобу ООО «ПРОСОФТ»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20"/>
        <w:jc w:val="both"/>
      </w:pPr>
      <w:r>
        <w:rPr>
          <w:rStyle w:val="CharStyle13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624840" distL="114300" distR="114300" simplePos="0" relativeHeight="125829380" behindDoc="0" locked="0" layoutInCell="1" allowOverlap="1">
                <wp:simplePos x="0" y="0"/>
                <wp:positionH relativeFrom="page">
                  <wp:posOffset>6163945</wp:posOffset>
                </wp:positionH>
                <wp:positionV relativeFrom="paragraph">
                  <wp:posOffset>12700</wp:posOffset>
                </wp:positionV>
                <wp:extent cx="1033145" cy="23495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Е.О. Хорышев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5.35000000000002pt;margin-top:1.pt;width:81.350000000000009pt;height:18.5pt;z-index:-125829373;mso-wrap-distance-left:9.pt;mso-wrap-distance-right:9.pt;mso-wrap-distance-bottom:49.200000000000003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Е.О. Хорышев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24840" distB="0" distL="269875" distR="126365" simplePos="0" relativeHeight="125829382" behindDoc="0" locked="0" layoutInCell="1" allowOverlap="1">
                <wp:simplePos x="0" y="0"/>
                <wp:positionH relativeFrom="page">
                  <wp:posOffset>6319520</wp:posOffset>
                </wp:positionH>
                <wp:positionV relativeFrom="paragraph">
                  <wp:posOffset>637540</wp:posOffset>
                </wp:positionV>
                <wp:extent cx="865505" cy="23495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К.С. Варава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7.60000000000002pt;margin-top:50.200000000000003pt;width:68.150000000000006pt;height:18.5pt;z-index:-125829371;mso-wrap-distance-left:21.25pt;mso-wrap-distance-top:49.200000000000003pt;mso-wrap-distance-right:9.950000000000001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К.С. Варава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660" w:line="240" w:lineRule="auto"/>
        <w:ind w:left="0" w:right="0" w:firstLine="0"/>
        <w:jc w:val="right"/>
      </w:pPr>
      <w:r>
        <w:rPr>
          <w:rStyle w:val="CharStyle13"/>
        </w:rPr>
        <w:t>Н.С. Криворучкин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6"/>
        </w:rPr>
        <w:t>Исп.Криворучкин Н.С. тел.(319)2110144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18" w:right="532" w:bottom="1202" w:left="109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9993630</wp:posOffset>
              </wp:positionV>
              <wp:extent cx="648335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33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2026-7186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6.600000000000001pt;margin-top:786.89999999999998pt;width:510.5pt;height:9.5999999999999996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2026-7186</w:t>
                      <w:tab/>
                    </w:r>
                    <w:fldSimple w:instr=" PAGE \* MERGEFORMAT ">
                      <w:r>
                        <w:rPr>
                          <w:rStyle w:val="CharStyle1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2026-7186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75.95000000000005pt;width:51.35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2026-7186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6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