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032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03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8"/>
          <w:b/>
          <w:bCs/>
        </w:rPr>
        <w:t>УПРАВЛЕНИЕ</w:t>
        <w:br/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625048, г. Тюмень, ул. Холодильная, 58а</w:t>
        <w:br/>
        <w:t>тел. (3452) 50-31-55, факс (3452) 50-59-14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71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"mailto:to72@fas.gov.ra" </w:instrText>
      </w:r>
      <w:r>
        <w:fldChar w:fldCharType="separate"/>
      </w:r>
      <w:r>
        <w:rPr>
          <w:rStyle w:val="CharStyle6"/>
          <w:lang w:val="en-US" w:eastAsia="en-US"/>
        </w:rPr>
        <w:t>to72@fas.gov.ra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9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3.05.2026</w:t>
      </w:r>
      <w:r>
        <w:fldChar w:fldCharType="end"/>
      </w:r>
      <w:r>
        <w:rPr>
          <w:rStyle w:val="CharStyle12"/>
        </w:rPr>
        <w:tab/>
        <w:t>№ -/2996/26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>О направлении решения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>ул. Большой Саввинский переулок д. 12, строен. 9, г. Москва, 119435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Управление государственных закупок Тюменской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>ул. Республики д. 24, г. Тюмень, 625003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ГБУЗ ТО «Областная клиническая больница № 2»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>ул. Мельникайте д. 75, г. Тюмень, 625039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709" w:bottom="1217" w:left="1101" w:header="0" w:footer="3" w:gutter="0"/>
          <w:pgNumType w:start="1"/>
          <w:cols w:num="2" w:space="720" w:equalWidth="0">
            <w:col w:w="4157" w:space="1147"/>
            <w:col w:w="4786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>ООО «Интеграл медицинские системы» ул. 22-й км Киевского шоссе д. 4, стр.2, эт. 6, блок В, оф. 618В-3, г. Москва, 108811</w:t>
      </w:r>
    </w:p>
    <w:p>
      <w:pPr>
        <w:widowControl w:val="0"/>
        <w:spacing w:line="40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" w:right="0" w:bottom="11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 № 072/06/44/90/2026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6469380</wp:posOffset>
                </wp:positionH>
                <wp:positionV relativeFrom="paragraph">
                  <wp:posOffset>12700</wp:posOffset>
                </wp:positionV>
                <wp:extent cx="740410" cy="24384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Тюмень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09.40000000000003pt;margin-top:1.pt;width:58.300000000000004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Тюмень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12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– Комиссия, антимонопольный орган)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Председатель комиссии: заместитель начальника отдела контроля закупок Логинова Н.В.,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Главный специалист-эксперт отдела контроля закупок Назаров И.Г.,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Ведущий специалист-эксперт отдела контроля закупок Романенко В.В.,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 участием представителя заказчика: ГБУЗ ТО «Областная клиническая больница № 2» (далее – заказчик), Кужиковой Л.Ю. по доверенности № 88 от 23.04.2026,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 участием представителя уполномоченного органа: Управления государственных закупок Тюменской области (далее – уполномоченный орган), Жуковой И.А. по доверенности № 13 от 23.08.2025,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отсутствие заявителя: ООО «Интеграл медицинские системы» (далее – Общество, заявитель), извещенного надлежащим образом о дате и времени рассмотрения дела,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 xml:space="preserve">рассмотрев в дистанционном режиме, посредством плагина </w:t>
      </w:r>
      <w:r>
        <w:rPr>
          <w:rStyle w:val="CharStyle14"/>
          <w:lang w:val="en-US" w:eastAsia="en-US"/>
        </w:rPr>
        <w:t xml:space="preserve">TrueConf </w:t>
      </w:r>
      <w:r>
        <w:rPr>
          <w:rStyle w:val="CharStyle14"/>
        </w:rPr>
        <w:t>в порядке, предусмотренном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системе, Закон № 44-ФЗ) жалобу ООО «Интеграл медицинские системы» на действия заказчика ГБУЗ ТО «Областная клиническая больница № 2» при проведении запроса котировок в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1"/>
        </w:rPr>
        <w:t>IIIIIIIIIIIIIIIIIIIIIIII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4"/>
        </w:rPr>
        <w:t xml:space="preserve">электронной форме на поставку медицинского изделия: насос эндоскопический для промывания/аспирации ввод в эксплуатацию медицинского изделия, обучение правилам эксплуатации специалистов, эксплуатирующих медицинское изделие (реестровый номер закупки </w:t>
      </w:r>
      <w:r>
        <w:rPr>
          <w:rStyle w:val="CharStyle14"/>
          <w:lang w:val="en-US" w:eastAsia="en-US"/>
        </w:rPr>
        <w:t>0167200003426003700),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  <w:b/>
          <w:bCs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Управление Федеральной антимонопольной службы по Тюменской области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Тюменское УФАС России) поступила жалоба ООО «Интеграл медицинские системы» на действия заказчика ГБУЗ ТО «Областная клиническая больница </w:t>
      </w:r>
      <w:r>
        <w:rPr>
          <w:rStyle w:val="CharStyle14"/>
          <w:lang w:val="en-US" w:eastAsia="en-US"/>
        </w:rPr>
        <w:t xml:space="preserve">№ 2» </w:t>
      </w:r>
      <w:r>
        <w:rPr>
          <w:rStyle w:val="CharStyle14"/>
        </w:rPr>
        <w:t>при проведении запроса котировок в электронной форме на поставку медицинского изделия: насос эндоскопический для промывания/аспирации ввод в эксплуатацию медицинского изделия, обучение правилам эксплуатации специалистов, эксплуатирующих медицинское изделие.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Указанная жалоба заявителя признана соответствующей требованиям, предусмотренным статьёй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 xml:space="preserve">Закона о контрактной системе, и принята к рассмотрению. Во исполнение требований части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 xml:space="preserve">Закона о контрактной системе информация о содержании поступившей жалобы, дате и времени её рассмотрения размещены в реестре жалоб на официальном сайте Единой информационной системы в сфере закупок </w:t>
      </w:r>
      <w:r>
        <w:rPr>
          <w:rStyle w:val="CharStyle14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>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Заявитель в жалобе указывает, что требование к поставляемому товару о наличии «двигающейся планки» у держателя банки является избыточным требованием, которое не обусловлено клинической необходимостью, поскольку данный способ реализации медицинского изделия с «двигающейся планкой» применяется исключительно у помпы ООО «Эндо старс».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Заказчиком и уполномоченным органом представлены возражения на жалобу заявителя, просят Комиссию Тюменского УФАС России признать жалобу заявителя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Исследовав материалы дела и оценив в совокупности представленные документы, Комиссия Тюменского УФАС России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Из материалов дела усматривается, что Управление государственных закупок Тюменской области являясь уполномоченным органом, выступило организатором проведения запроса котировок в электронной форме на поставку медицинского изделия: насос эндоскопический для промывания/аспирации ввод в эксплуатацию медицинского изделия, обучение правилам эксплуатации специалистов, эксплуатирующих медицинское изделие, с начальной (максимальной) ценой контракта </w:t>
      </w:r>
      <w:r>
        <w:rPr>
          <w:rStyle w:val="CharStyle14"/>
          <w:lang w:val="en-US" w:eastAsia="en-US"/>
        </w:rPr>
        <w:t xml:space="preserve">828 000,00 </w:t>
      </w:r>
      <w:r>
        <w:rPr>
          <w:rStyle w:val="CharStyle14"/>
        </w:rPr>
        <w:t xml:space="preserve">рублей, в интересах заказчиков: ГБУЗ ТО «Областная клиническая больница </w:t>
      </w:r>
      <w:r>
        <w:rPr>
          <w:rStyle w:val="CharStyle14"/>
          <w:lang w:val="en-US" w:eastAsia="en-US"/>
        </w:rPr>
        <w:t>№ 2».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Информация о закупке была размещена </w:t>
      </w:r>
      <w:r>
        <w:rPr>
          <w:rStyle w:val="CharStyle14"/>
          <w:lang w:val="en-US" w:eastAsia="en-US"/>
        </w:rPr>
        <w:t xml:space="preserve">29.04.2026 </w:t>
      </w:r>
      <w:r>
        <w:rPr>
          <w:rStyle w:val="CharStyle14"/>
        </w:rPr>
        <w:t xml:space="preserve">на официальном сайте ЕИС в сфере закупок: 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rStyle w:val="CharStyle14"/>
          <w:lang w:val="en-US" w:eastAsia="en-US"/>
        </w:rPr>
        <w:t>http://zakupki.gov.ru</w:t>
      </w:r>
      <w:r>
        <w:fldChar w:fldCharType="end"/>
      </w:r>
      <w:r>
        <w:rPr>
          <w:rStyle w:val="CharStyle14"/>
          <w:lang w:val="en-US" w:eastAsia="en-US"/>
        </w:rPr>
        <w:t xml:space="preserve">, </w:t>
      </w:r>
      <w:r>
        <w:rPr>
          <w:rStyle w:val="CharStyle14"/>
        </w:rPr>
        <w:t xml:space="preserve">с реестровым номером закупки </w:t>
      </w:r>
      <w:r>
        <w:rPr>
          <w:rStyle w:val="CharStyle14"/>
          <w:lang w:val="en-US" w:eastAsia="en-US"/>
        </w:rPr>
        <w:t>0167200003426003700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Адрес электронной площадки в информационно-телекоммуникационной сети «Интернет» определенной для проведения закупок </w:t>
      </w:r>
      <w:r>
        <w:fldChar w:fldCharType="begin"/>
      </w:r>
      <w:r>
        <w:rPr/>
        <w:instrText> HYPERLINK "http://www.sberbank-ast.ru" </w:instrText>
      </w:r>
      <w:r>
        <w:fldChar w:fldCharType="separate"/>
      </w:r>
      <w:r>
        <w:rPr>
          <w:rStyle w:val="CharStyle14"/>
          <w:lang w:val="en-US" w:eastAsia="en-US"/>
        </w:rPr>
        <w:t>http://www.sberbank-ast.ru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Закона о контрактной системе предусмотрено, что закупка товара, работы, услуги для обеспечения государственных или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закупка)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совокупность действий, осуществляемых в установленном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>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19 </w:t>
      </w:r>
      <w:r>
        <w:rPr>
          <w:rStyle w:val="CharStyle14"/>
        </w:rPr>
        <w:t>Закона о контрактной системе предусмотрено, что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позволяющими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Следовательно, установление требований к закупаемым заказчиком товарам, работам, услугам, связано с необходимостью своевременного и качественного исполнения поставщиком товаров, работ и услуг, являющихся предметом закупочных процедур, к которым, в том числе могут относится сроки поставки товаров, работ и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конкурентные способы) или осуществляют закупки у единственного поставщика (подрядчика, исполнителя).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предусмотрено, что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>Закона о контрактной системе предусмотрено, что единая информационная система содержит каталог,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числе,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Правил использования каталога товаров, работ, услуг для обеспечения государственных и муниципальных нужд (утв. Постановлением Правительства РФ от </w:t>
      </w:r>
      <w:r>
        <w:rPr>
          <w:rStyle w:val="CharStyle14"/>
          <w:lang w:val="en-US" w:eastAsia="en-US"/>
        </w:rPr>
        <w:t xml:space="preserve">08.02.2017 № 145) </w:t>
      </w:r>
      <w:r>
        <w:rPr>
          <w:rStyle w:val="CharStyle14"/>
        </w:rPr>
        <w:t xml:space="preserve">предусмотрено,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42, </w:t>
      </w: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75 </w:t>
      </w:r>
      <w:r>
        <w:rPr>
          <w:rStyle w:val="CharStyle14"/>
        </w:rPr>
        <w:t xml:space="preserve">Федерального закона соответственно.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4"/>
          <w:lang w:val="en-US" w:eastAsia="en-US"/>
        </w:rPr>
        <w:t>034</w:t>
        <w:softHyphen/>
        <w:t>2014.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рамках рассматриваемой закупки заказчику требовался к поставке насос эндоскопический для промывания/аспирации в соответствии с примененной к описанию объекта закупки позицией КТРУ </w:t>
      </w:r>
      <w:r>
        <w:rPr>
          <w:rStyle w:val="CharStyle14"/>
          <w:lang w:val="en-US" w:eastAsia="en-US"/>
        </w:rPr>
        <w:t xml:space="preserve">32.50.50.190-00001035 </w:t>
      </w:r>
      <w:r>
        <w:rPr>
          <w:rStyle w:val="CharStyle14"/>
        </w:rPr>
        <w:t>«Насос эндоскопический для промывания/аспирации».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письму Минфина России от </w:t>
      </w:r>
      <w:r>
        <w:rPr>
          <w:rStyle w:val="CharStyle14"/>
          <w:lang w:val="en-US" w:eastAsia="en-US"/>
        </w:rPr>
        <w:t xml:space="preserve">24.01.2022 № 24-03-08/4090 </w:t>
      </w:r>
      <w:r>
        <w:rPr>
          <w:rStyle w:val="CharStyle14"/>
        </w:rPr>
        <w:t xml:space="preserve">«О направлении информации о применении каталога товаров, работ, услуг для обеспечения государственных и муниципальных нужд» если описание (содержащее характеристики) объекта закупки не сформировано и не включено в позицию каталога (КТРУ) заказчик при использовании такой позиции каталога самостоятельно осуществляет описание объекта закупки в соответствии с положениями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 (самостоятельно устанавливает в извещении об осуществлении закупки все характеристики закупаемого товара, работы, услуги).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Указанная позиция КТРУ </w:t>
      </w:r>
      <w:r>
        <w:rPr>
          <w:rStyle w:val="CharStyle14"/>
          <w:lang w:val="en-US" w:eastAsia="en-US"/>
        </w:rPr>
        <w:t xml:space="preserve">32.50.50.190-00001035 </w:t>
      </w:r>
      <w:r>
        <w:rPr>
          <w:rStyle w:val="CharStyle14"/>
        </w:rPr>
        <w:t xml:space="preserve">не содержала обязательные для применения характеристики, в этой связи, описание объекта закупки осуществлялось заказчиком в соответствии с общими требованиями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Оценивая правомерность определенных заказчиком требований к закупаемому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товару, Комиссия исходит из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Действующее законодательство Российской Федерации о контрактной системе в сфере закупок допускает самостоятельное формирование заказчиком объекта закупки, исходя из целей ее осуществления и потребностей такого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этом, заказчик самостоятельно с учетом действующего законодательства формирует объект закупки, в том числе устанавливает требования к объекту закупки, при условии, что такие требования не влекут за собой ограничение количества участников закупки (данные выводы согласуются с позицией Минфина России, изложенной в письме от </w:t>
      </w:r>
      <w:r>
        <w:rPr>
          <w:rStyle w:val="CharStyle14"/>
          <w:lang w:val="en-US" w:eastAsia="en-US"/>
        </w:rPr>
        <w:t>29.11.2019 N 24-03-07/93070).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Обзора судебной практики применения законодательства РФ о контрактной системе в сфере закупок товаров, работ, услуг для обеспечения государственных нужд (утв. Президиумом Верховного Суда Российской Федерации от </w:t>
      </w:r>
      <w:r>
        <w:rPr>
          <w:rStyle w:val="CharStyle14"/>
          <w:lang w:val="en-US" w:eastAsia="en-US"/>
        </w:rPr>
        <w:t xml:space="preserve">28.06.2017) </w:t>
      </w:r>
      <w:r>
        <w:rPr>
          <w:rStyle w:val="CharStyle14"/>
        </w:rPr>
        <w:t>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вправе указывать качественные, технические параметры к товарам, которые являются определяющими для него, но при этом не ограничивающие количество потенциальных участников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Толкование вышеприведенных норм в совокупности позволяет прийти к выводу о том, что указание заказчиком в описании объекта закупки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Тюменского УФАС России отмечает, что заказчик вправе включить в описание объекта закупки такие характеристики и требования, которые отвечают его потребностям и необходимы для выполнения соответствующих функций. При этом заказчик вправе в необходимой степени детализировать предмет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свою очередь Закон о контрактной системе не содержит как норм, ограничивающих право заказчика включать требования к объекту закупки, которые являются для него значимыми, так и норм, обязывающих заказчика устанавливать, вопреки его потребности, такие требования к характеристикам закупаемого товара, которые соответствовали бы всем существующим видам закупаемых им товаров.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Характеристики требуемого товара соответствуют как минимум двум производителям, которые осуществляют производство медицинских изделий, с характеристиками, которые требуются 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Помпа ирригационная эндоскопическая </w:t>
      </w:r>
      <w:r>
        <w:rPr>
          <w:rStyle w:val="CharStyle14"/>
          <w:lang w:val="en-US" w:eastAsia="en-US"/>
        </w:rPr>
        <w:t xml:space="preserve">Endomate Pump </w:t>
      </w:r>
      <w:r>
        <w:rPr>
          <w:rStyle w:val="CharStyle14"/>
        </w:rPr>
        <w:t xml:space="preserve">по ТУ </w:t>
      </w:r>
      <w:r>
        <w:rPr>
          <w:rStyle w:val="CharStyle14"/>
          <w:lang w:val="en-US" w:eastAsia="en-US"/>
        </w:rPr>
        <w:t>32.50.50-203</w:t>
        <w:softHyphen/>
        <w:t xml:space="preserve">89134710-2020, </w:t>
      </w:r>
      <w:r>
        <w:rPr>
          <w:rStyle w:val="CharStyle14"/>
        </w:rPr>
        <w:t xml:space="preserve">ООО «Эндо Старс», Россия, РЗН </w:t>
      </w:r>
      <w:r>
        <w:rPr>
          <w:rStyle w:val="CharStyle14"/>
          <w:lang w:val="en-US" w:eastAsia="en-US"/>
        </w:rPr>
        <w:t>2021/13251.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Помпа эндоскопическая </w:t>
      </w:r>
      <w:r>
        <w:rPr>
          <w:rStyle w:val="CharStyle14"/>
          <w:lang w:val="en-US" w:eastAsia="en-US"/>
        </w:rPr>
        <w:t xml:space="preserve">Karl Storz, </w:t>
      </w:r>
      <w:r>
        <w:rPr>
          <w:rStyle w:val="CharStyle14"/>
        </w:rPr>
        <w:t xml:space="preserve">с принадлежностями, варианты исполнения: </w:t>
      </w:r>
      <w:r>
        <w:rPr>
          <w:rStyle w:val="CharStyle14"/>
          <w:lang w:val="en-US" w:eastAsia="en-US"/>
        </w:rPr>
        <w:t xml:space="preserve">HAMOU Endomat, </w:t>
      </w:r>
      <w:r>
        <w:rPr>
          <w:rStyle w:val="CharStyle14"/>
        </w:rPr>
        <w:t xml:space="preserve">КАРЛ ШТОРЦ, Германия, ФСЗ </w:t>
      </w:r>
      <w:r>
        <w:rPr>
          <w:rStyle w:val="CharStyle14"/>
          <w:lang w:val="en-US" w:eastAsia="en-US"/>
        </w:rPr>
        <w:t>2011/09541.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Обе указанные модели насосов эндоскопических для промывания/аспирации имеют характеристику товара: «Возможность жесткого крепления банки с жидкостью в держателе с помощью двигающейся планки», что подтверждается в том числе, сравнительной таблицей характеристик: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437"/>
        <w:gridCol w:w="1829"/>
        <w:gridCol w:w="1992"/>
        <w:gridCol w:w="538"/>
        <w:gridCol w:w="1373"/>
        <w:gridCol w:w="1296"/>
        <w:gridCol w:w="1454"/>
        <w:gridCol w:w="1464"/>
      </w:tblGrid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 xml:space="preserve">№ </w:t>
            </w:r>
            <w:r>
              <w:rPr>
                <w:rStyle w:val="CharStyle23"/>
                <w:sz w:val="16"/>
                <w:szCs w:val="16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Наименование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ОКПД2/КТРУ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Кол- во, 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Характеристики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Наименование характеристики, ед. изм.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b/>
                <w:bCs/>
                <w:sz w:val="16"/>
                <w:szCs w:val="16"/>
              </w:rPr>
              <w:t xml:space="preserve">Помпа ирригационная эндоскопическая </w:t>
            </w:r>
            <w:r>
              <w:rPr>
                <w:rStyle w:val="CharStyle23"/>
                <w:b/>
                <w:bCs/>
                <w:sz w:val="16"/>
                <w:szCs w:val="16"/>
                <w:lang w:val="en-US" w:eastAsia="en-US"/>
              </w:rPr>
              <w:t xml:space="preserve">Endomate Pump </w:t>
            </w:r>
            <w:r>
              <w:rPr>
                <w:rStyle w:val="CharStyle23"/>
                <w:b/>
                <w:bCs/>
                <w:sz w:val="16"/>
                <w:szCs w:val="16"/>
              </w:rPr>
              <w:t xml:space="preserve">по ТУ </w:t>
            </w:r>
            <w:r>
              <w:rPr>
                <w:rStyle w:val="CharStyle23"/>
                <w:b/>
                <w:bCs/>
                <w:sz w:val="16"/>
                <w:szCs w:val="16"/>
                <w:lang w:val="en-US" w:eastAsia="en-US"/>
              </w:rPr>
              <w:t>32.50.50</w:t>
              <w:softHyphen/>
              <w:t>203-89134710</w:t>
              <w:softHyphen/>
              <w:t xml:space="preserve">2020, </w:t>
            </w:r>
            <w:r>
              <w:rPr>
                <w:rStyle w:val="CharStyle23"/>
                <w:b/>
                <w:bCs/>
                <w:sz w:val="16"/>
                <w:szCs w:val="16"/>
              </w:rPr>
              <w:t xml:space="preserve">ООО "Эндо Старс", Россия РЗН </w:t>
            </w:r>
            <w:r>
              <w:rPr>
                <w:rStyle w:val="CharStyle23"/>
                <w:b/>
                <w:bCs/>
                <w:sz w:val="16"/>
                <w:szCs w:val="16"/>
                <w:lang w:val="en-US" w:eastAsia="en-US"/>
              </w:rPr>
              <w:t>2021/13251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b/>
                <w:bCs/>
                <w:sz w:val="16"/>
                <w:szCs w:val="16"/>
              </w:rPr>
              <w:t xml:space="preserve">Помпа эндоскопическая </w:t>
            </w:r>
            <w:r>
              <w:rPr>
                <w:rStyle w:val="CharStyle23"/>
                <w:b/>
                <w:bCs/>
                <w:sz w:val="16"/>
                <w:szCs w:val="16"/>
                <w:lang w:val="en-US" w:eastAsia="en-US"/>
              </w:rPr>
              <w:t xml:space="preserve">Karl Storz, </w:t>
            </w:r>
            <w:r>
              <w:rPr>
                <w:rStyle w:val="CharStyle23"/>
                <w:b/>
                <w:bCs/>
                <w:sz w:val="16"/>
                <w:szCs w:val="16"/>
              </w:rPr>
              <w:t xml:space="preserve">с принадлежностя ми Варианты исполнения: </w:t>
            </w:r>
            <w:r>
              <w:rPr>
                <w:rStyle w:val="CharStyle23"/>
                <w:b/>
                <w:bCs/>
                <w:sz w:val="16"/>
                <w:szCs w:val="16"/>
                <w:lang w:val="en-US" w:eastAsia="en-US"/>
              </w:rPr>
              <w:t xml:space="preserve">HAMOU Endomat, </w:t>
            </w:r>
            <w:r>
              <w:rPr>
                <w:rStyle w:val="CharStyle23"/>
                <w:b/>
                <w:bCs/>
                <w:sz w:val="16"/>
                <w:szCs w:val="16"/>
              </w:rPr>
              <w:t xml:space="preserve">КАРЛ ШТОРЦ, Германия, ФСЗ </w:t>
            </w:r>
            <w:r>
              <w:rPr>
                <w:rStyle w:val="CharStyle23"/>
                <w:b/>
                <w:bCs/>
                <w:sz w:val="16"/>
                <w:szCs w:val="16"/>
                <w:lang w:val="en-US" w:eastAsia="en-US"/>
              </w:rPr>
              <w:t>2011/09541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11</w:t>
            </w:r>
          </w:p>
        </w:tc>
      </w:tr>
      <w:tr>
        <w:trPr>
          <w:trHeight w:val="240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Насос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эндоскопический для промывания/аспирации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32.50.50.190/32.50.50.190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-00001035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 xml:space="preserve">2 </w:t>
            </w:r>
            <w:r>
              <w:rPr>
                <w:rStyle w:val="CharStyle23"/>
                <w:sz w:val="16"/>
                <w:szCs w:val="16"/>
              </w:rPr>
              <w:t>шт.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Помпа ирригационная эндоскопическая предназначена для ирригации желудочно</w:t>
              <w:softHyphen/>
              <w:t>кишечного тракта водой в процессе проведения оперативных и диагностически х процедур.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5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Регулировка скорости потока жидкости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81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Индикация установленной скорости потока жидкости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111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Функция автоматического заполнения канала эндоскопа жидкостью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Минимальная скорость потока жидкости, л/мин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≤ 0,2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0,2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0</w:t>
            </w:r>
          </w:p>
        </w:tc>
      </w:tr>
      <w:tr>
        <w:trPr>
          <w:trHeight w:val="5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Максимальная скорость потока жидкости, л/мин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≥ 1,0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  <w:lang w:val="en-US" w:eastAsia="en-US"/>
              </w:rPr>
              <w:t>1</w:t>
            </w:r>
          </w:p>
        </w:tc>
      </w:tr>
      <w:tr>
        <w:trPr>
          <w:trHeight w:val="14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Возможность жесткого крепления банки с жидкостью в держателе с помощью двигающейся планки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3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Педаль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38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Трубка соединительная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3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Банка с крышкой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37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Адаптер соединительный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  <w:tr>
        <w:trPr>
          <w:trHeight w:val="38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Держатель для банки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3"/>
                <w:sz w:val="16"/>
                <w:szCs w:val="16"/>
              </w:rPr>
              <w:t>Да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rStyle w:val="CharStyle14"/>
        </w:rPr>
        <w:t>Комиссия Тюменского УФАС России отмечает, что заявителем не представлены документы и сведения, указывающие на нарушение заказчиком норм законодательства о контрактной системе, а также свидетельствующие о невозможности подачи заявки на участие в аукционе ввиду установления заказчиком вышеуказанных требований к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закупаемому товару, не доказано и то, что установленные заказчиком требования к закупаемому товару привели к ограничению количества участников закупки, невозможности поставки товаров с характеристиками, установленными заказчиком.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 учетом указанных обстоятельств, Комиссия Тюменского УФАС России считает, что заявителем в обоснование заявленных требований не представлены доказательства того, что извещение об осуществлении закупки на поставку медицинских изделий противоречит требованиям законодательства о контрактной системе, равно как и не доказано обстоятельство необоснованного ограничения прав и законных интересов заявителя со стороны заказчика при проведении указанной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изложенного, руководствуясь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 xml:space="preserve">Признать жалобу ООО «Интеграл медицинские системы» </w:t>
      </w:r>
      <w:r>
        <w:rPr>
          <w:rStyle w:val="CharStyle14"/>
          <w:b/>
          <w:bCs/>
        </w:rPr>
        <w:t>необоснованной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 настоящее решение может быть оспорено в арбитражном суде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" w:right="479" w:bottom="1190" w:left="103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129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795145" cy="24066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00000000000003pt;margin-top:9.pt;width:141.34999999999999pt;height:18.949999999999999pt;z-index:-125829373;mso-wrap-distance-left:0;mso-wrap-distance-top:9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090" distB="0" distL="0" distR="1813560" simplePos="0" relativeHeight="125829382" behindDoc="0" locked="0" layoutInCell="1" allowOverlap="1">
            <wp:simplePos x="0" y="0"/>
            <wp:positionH relativeFrom="page">
              <wp:posOffset>2759710</wp:posOffset>
            </wp:positionH>
            <wp:positionV relativeFrom="paragraph">
              <wp:posOffset>212090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3147060</wp:posOffset>
                </wp:positionH>
                <wp:positionV relativeFrom="paragraph">
                  <wp:posOffset>273050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7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7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7.80000000000001pt;margin-top:2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7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7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1295" distL="0" distR="0" simplePos="0" relativeHeight="125829383" behindDoc="0" locked="0" layoutInCell="1" allowOverlap="1">
                <wp:simplePos x="0" y="0"/>
                <wp:positionH relativeFrom="page">
                  <wp:posOffset>4951730</wp:posOffset>
                </wp:positionH>
                <wp:positionV relativeFrom="paragraph">
                  <wp:posOffset>114300</wp:posOffset>
                </wp:positionV>
                <wp:extent cx="1090930" cy="24066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Н.В. Логинова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389.90000000000003pt;margin-top:9.pt;width:85.900000000000006pt;height:18.949999999999999pt;z-index:-125829370;mso-wrap-distance-left:0;mso-wrap-distance-top:9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Н.В. Логинова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8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Логинова Надежда Владимировна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</w:rPr>
        <w:t xml:space="preserve">Сертификат </w:t>
      </w:r>
      <w:r>
        <w:rPr>
          <w:rStyle w:val="CharStyle30"/>
          <w:color w:val="2A2A2A"/>
        </w:rPr>
        <w:t xml:space="preserve">№ </w:t>
      </w:r>
      <w:r>
        <w:rPr>
          <w:rStyle w:val="CharStyle30"/>
          <w:lang w:val="en-US" w:eastAsia="en-US"/>
        </w:rPr>
        <w:t>00D86DFEFB093F917F567A3B0A392D6EB</w:t>
      </w:r>
      <w:r>
        <w:rPr>
          <w:rStyle w:val="CharStyle30"/>
          <w:lang w:val="en-US" w:eastAsia="en-US"/>
        </w:rPr>
        <w:t>C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Действителен </w:t>
      </w:r>
      <w:r>
        <w:rPr>
          <w:rStyle w:val="CharStyle30"/>
          <w:color w:val="595959"/>
        </w:rPr>
        <w:t xml:space="preserve">с </w:t>
      </w:r>
      <w:r>
        <w:rPr>
          <w:rStyle w:val="CharStyle30"/>
        </w:rPr>
        <w:t xml:space="preserve">05.08.2025 по </w:t>
      </w:r>
      <w:r>
        <w:rPr>
          <w:rStyle w:val="CharStyle30"/>
          <w:color w:val="595959"/>
        </w:rPr>
        <w:t>29.10.2026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431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0520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280160" cy="24066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950000000000003pt;margin-top:6.pt;width:100.8pt;height:18.949999999999999pt;z-index:-125829368;mso-wrap-distance-left:0;mso-wrap-distance-top:6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3030" distB="0" distL="0" distR="1786255" simplePos="0" relativeHeight="125829387" behindDoc="0" locked="0" layoutInCell="1" allowOverlap="1">
            <wp:simplePos x="0" y="0"/>
            <wp:positionH relativeFrom="page">
              <wp:posOffset>2695575</wp:posOffset>
            </wp:positionH>
            <wp:positionV relativeFrom="paragraph">
              <wp:posOffset>113030</wp:posOffset>
            </wp:positionV>
            <wp:extent cx="389890" cy="55499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3189605</wp:posOffset>
                </wp:positionH>
                <wp:positionV relativeFrom="paragraph">
                  <wp:posOffset>551815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51.15000000000001pt;margin-top:43.45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3146425</wp:posOffset>
                </wp:positionH>
                <wp:positionV relativeFrom="paragraph">
                  <wp:posOffset>234950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7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7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7.75pt;margin-top:18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7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7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0520" distL="0" distR="0" simplePos="0" relativeHeight="125829388" behindDoc="0" locked="0" layoutInCell="1" allowOverlap="1">
                <wp:simplePos x="0" y="0"/>
                <wp:positionH relativeFrom="page">
                  <wp:posOffset>4951095</wp:posOffset>
                </wp:positionH>
                <wp:positionV relativeFrom="paragraph">
                  <wp:posOffset>76200</wp:posOffset>
                </wp:positionV>
                <wp:extent cx="956945" cy="240665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И.Г. Назаров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389.85000000000002pt;margin-top:6.pt;width:75.350000000000009pt;height:18.949999999999999pt;z-index:-125829365;mso-wrap-distance-left:0;mso-wrap-distance-top:6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И.Г. Назаров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Назаров Игорь Геннадьевич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A2A2A"/>
        </w:rPr>
        <w:t xml:space="preserve">№ </w:t>
      </w:r>
      <w:r>
        <w:rPr>
          <w:rStyle w:val="CharStyle30"/>
          <w:lang w:val="en-US" w:eastAsia="en-US"/>
        </w:rPr>
        <w:t>008774010EF3182954EDD8DBFD8F1E1762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30"/>
        </w:rPr>
        <w:t xml:space="preserve">Действителен </w:t>
      </w:r>
      <w:r>
        <w:rPr>
          <w:rStyle w:val="CharStyle30"/>
          <w:color w:val="595959"/>
        </w:rPr>
        <w:t xml:space="preserve">с </w:t>
      </w:r>
      <w:r>
        <w:rPr>
          <w:rStyle w:val="CharStyle30"/>
        </w:rPr>
        <w:t>13.03.2026 по 06.06.2027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left"/>
      </w:pPr>
      <w:r>
        <w:drawing>
          <wp:anchor distT="0" distB="0" distL="63500" distR="1849755" simplePos="0" relativeHeight="125829390" behindDoc="0" locked="0" layoutInCell="1" allowOverlap="1">
            <wp:simplePos x="0" y="0"/>
            <wp:positionH relativeFrom="page">
              <wp:posOffset>2729230</wp:posOffset>
            </wp:positionH>
            <wp:positionV relativeFrom="paragraph">
              <wp:posOffset>50800</wp:posOffset>
            </wp:positionV>
            <wp:extent cx="353695" cy="40830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3147060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7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7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7.80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7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7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В.В. Романенко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920" w:right="0" w:firstLine="0"/>
        <w:jc w:val="left"/>
      </w:pPr>
      <w:r>
        <w:rPr>
          <w:rStyle w:val="CharStyle28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Романенко Вадим Владимирович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A2A2A"/>
        </w:rPr>
        <w:t xml:space="preserve">№ </w:t>
      </w:r>
      <w:r>
        <w:rPr>
          <w:rStyle w:val="CharStyle30"/>
          <w:lang w:val="en-US" w:eastAsia="en-US"/>
        </w:rPr>
        <w:t>00FA88BA012AC36B61BB986751401E452D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0"/>
        </w:rPr>
        <w:t xml:space="preserve">Действителен </w:t>
      </w:r>
      <w:r>
        <w:rPr>
          <w:rStyle w:val="CharStyle30"/>
          <w:color w:val="595959"/>
        </w:rPr>
        <w:t xml:space="preserve">с </w:t>
      </w:r>
      <w:r>
        <w:rPr>
          <w:rStyle w:val="CharStyle30"/>
        </w:rPr>
        <w:t>10.04.2026 по 04.07.2027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10029825</wp:posOffset>
              </wp:positionV>
              <wp:extent cx="643255" cy="12192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600000000000001pt;margin-top:789.75pt;width:50.649999999999999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43255" cy="12192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95000000000005pt;width:50.649999999999999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7"/>
      <w:szCs w:val="17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8">
    <w:name w:val="Body text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5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7"/>
      <w:szCs w:val="17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18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  <w:ind w:left="19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