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51" w:bottom="938"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9.05.2026</w:t>
      </w:r>
      <w:r>
        <w:rPr>
          <w:rStyle w:val="CharStyle10"/>
          <w:u w:val="none"/>
        </w:rPr>
        <w:tab/>
      </w:r>
      <w:r>
        <w:fldChar w:fldCharType="end"/>
      </w:r>
      <w:r>
        <w:rPr>
          <w:rStyle w:val="CharStyle10"/>
          <w:u w:val="none"/>
        </w:rPr>
        <w:t xml:space="preserve">№ </w:t>
      </w:r>
      <w:r>
        <w:rPr>
          <w:rStyle w:val="CharStyle10"/>
        </w:rPr>
        <w:t>ИБ/10036/2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ООО "Фабрикант" </w:t>
      </w:r>
      <w:r>
        <w:fldChar w:fldCharType="begin"/>
      </w:r>
      <w:r>
        <w:rPr/>
        <w:instrText> HYPERLINK "mailto:info@fabrikant.ru" </w:instrText>
      </w:r>
      <w:r>
        <w:fldChar w:fldCharType="separate"/>
      </w:r>
      <w:r>
        <w:rPr>
          <w:rStyle w:val="CharStyle13"/>
          <w:sz w:val="28"/>
          <w:szCs w:val="28"/>
          <w:lang w:val="en-US" w:eastAsia="en-US"/>
        </w:rPr>
        <w:t>info@fabrikant.ru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ИП Барышева Марина Викторовна</w:t>
      </w:r>
    </w:p>
    <w:p>
      <w:pPr>
        <w:pStyle w:val="Style12"/>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"mailto:marin.barysh@mail.ru" </w:instrText>
      </w:r>
      <w:r>
        <w:fldChar w:fldCharType="separate"/>
      </w:r>
      <w:r>
        <w:rPr>
          <w:rStyle w:val="CharStyle13"/>
          <w:sz w:val="28"/>
          <w:szCs w:val="28"/>
          <w:lang w:val="en-US" w:eastAsia="en-US"/>
        </w:rPr>
        <w:t>marin.barysh@mail.ru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ГБОУ ДПО «Нижегородский институт развития образования»</w:t>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603950, г. Н. Новгород, ул. Ванеева, д.</w:t>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203</w:t>
      </w:r>
    </w:p>
    <w:p>
      <w:pPr>
        <w:pStyle w:val="Style12"/>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"mailto:secr@niro.nnov.ru" </w:instrText>
      </w:r>
      <w:r>
        <w:fldChar w:fldCharType="separate"/>
      </w:r>
      <w:r>
        <w:rPr>
          <w:rStyle w:val="CharStyle13"/>
          <w:sz w:val="28"/>
          <w:szCs w:val="28"/>
          <w:lang w:val="en-US" w:eastAsia="en-US"/>
        </w:rPr>
        <w:t>secr@niro.nnov.ru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Государственное казенное учреждение</w:t>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Нижегородской области «Центр размещение заказа Нижегородской области»</w:t>
      </w:r>
    </w:p>
    <w:p>
      <w:pPr>
        <w:pStyle w:val="Style12"/>
        <w:keepNext w:val="0"/>
        <w:keepLines w:val="0"/>
        <w:widowControl w:val="0"/>
        <w:shd w:val="clear" w:color="auto" w:fill="auto"/>
        <w:bidi w:val="0"/>
        <w:spacing w:before="0" w:after="0" w:line="240" w:lineRule="auto"/>
        <w:ind w:left="0" w:right="0" w:firstLine="0"/>
        <w:jc w:val="left"/>
        <w:rPr>
          <w:sz w:val="28"/>
          <w:szCs w:val="28"/>
        </w:rPr>
      </w:pPr>
      <w:r>
        <w:fldChar w:fldCharType="begin"/>
      </w:r>
      <w:r>
        <w:rPr/>
        <w:instrText> HYPERLINK "mailto:crzno@mail.ru" </w:instrText>
      </w:r>
      <w:r>
        <w:fldChar w:fldCharType="separate"/>
      </w:r>
      <w:r>
        <w:rPr>
          <w:rStyle w:val="CharStyle13"/>
          <w:sz w:val="28"/>
          <w:szCs w:val="28"/>
          <w:lang w:val="en-US" w:eastAsia="en-US"/>
        </w:rPr>
        <w:t>crzno@mail.ru</w:t>
      </w:r>
      <w:r>
        <w:fldChar w:fldCharType="end"/>
      </w:r>
      <w:r>
        <w:rPr>
          <w:rStyle w:val="CharStyle13"/>
          <w:sz w:val="28"/>
          <w:szCs w:val="28"/>
          <w:lang w:val="en-US" w:eastAsia="en-US"/>
        </w:rPr>
        <w:t>,</w:t>
      </w:r>
    </w:p>
    <w:p>
      <w:pPr>
        <w:pStyle w:val="Style12"/>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385" w:right="819" w:bottom="1395" w:left="1135" w:header="0" w:footer="3" w:gutter="0"/>
          <w:cols w:num="2" w:space="586"/>
          <w:noEndnote/>
          <w:rtlGutter w:val="0"/>
          <w:docGrid w:linePitch="360"/>
        </w:sectPr>
      </w:pPr>
      <w:r>
        <w:fldChar w:fldCharType="begin"/>
      </w:r>
      <w:r>
        <w:rPr/>
        <w:instrText> HYPERLINK "mailto:koe@konkurs.kreml.nnov.ru" </w:instrText>
      </w:r>
      <w:r>
        <w:fldChar w:fldCharType="separate"/>
      </w:r>
      <w:r>
        <w:rPr>
          <w:rStyle w:val="CharStyle13"/>
          <w:sz w:val="28"/>
          <w:szCs w:val="28"/>
          <w:lang w:val="en-US" w:eastAsia="en-US"/>
        </w:rPr>
        <w:t>koe@konkurs.kreml.nnov.ru</w:t>
      </w:r>
      <w:r>
        <w:fldChar w:fldCharType="end"/>
      </w: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30" w:right="0" w:bottom="1380"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052/06/105-1154/2026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4950"/>
                <wp:wrapSquare wrapText="right"/>
                <wp:docPr id="9" name="Shape 9"/>
                <a:graphic xmlns:a="http://schemas.openxmlformats.org/drawingml/2006/main">
                  <a:graphicData uri="http://schemas.microsoft.com/office/word/2010/wordprocessingShape">
                    <wps:wsp>
                      <wps:cNvSpPr txBox="1"/>
                      <wps:spPr>
                        <a:xfrm>
                          <a:ext cx="11855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14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14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34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179"/>
        <w:gridCol w:w="8054"/>
      </w:tblGrid>
      <w:tr>
        <w:trPr>
          <w:trHeight w:val="1181"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 Баранова И.В.</w:t>
            </w:r>
          </w:p>
          <w:p>
            <w:pPr>
              <w:pStyle w:val="Style18"/>
              <w:keepNext w:val="0"/>
              <w:keepLines w:val="0"/>
              <w:widowControl w:val="0"/>
              <w:shd w:val="clear" w:color="auto" w:fill="auto"/>
              <w:bidi w:val="0"/>
              <w:spacing w:before="0" w:after="0" w:line="240" w:lineRule="auto"/>
              <w:ind w:left="0" w:right="0" w:firstLine="0"/>
              <w:jc w:val="left"/>
            </w:pPr>
            <w:r>
              <w:rPr>
                <w:rStyle w:val="CharStyle19"/>
              </w:rPr>
              <w:t>- Железова Е.С.</w:t>
            </w:r>
          </w:p>
          <w:p>
            <w:pPr>
              <w:pStyle w:val="Style18"/>
              <w:keepNext w:val="0"/>
              <w:keepLines w:val="0"/>
              <w:widowControl w:val="0"/>
              <w:shd w:val="clear" w:color="auto" w:fill="auto"/>
              <w:bidi w:val="0"/>
              <w:spacing w:before="0" w:after="0" w:line="240" w:lineRule="auto"/>
              <w:ind w:left="0" w:right="0" w:firstLine="0"/>
              <w:jc w:val="left"/>
            </w:pPr>
            <w:r>
              <w:rPr>
                <w:rStyle w:val="CharStyle19"/>
              </w:rPr>
              <w:t>- Лебедевой Ю.К.</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20"/>
              <w:jc w:val="left"/>
            </w:pPr>
            <w:r>
              <w:rPr>
                <w:rStyle w:val="CharStyle19"/>
              </w:rPr>
              <w:t>- председателя комиссии, заместителя руководителя Управления,</w:t>
            </w:r>
          </w:p>
          <w:p>
            <w:pPr>
              <w:pStyle w:val="Style18"/>
              <w:keepNext w:val="0"/>
              <w:keepLines w:val="0"/>
              <w:widowControl w:val="0"/>
              <w:shd w:val="clear" w:color="auto" w:fill="auto"/>
              <w:bidi w:val="0"/>
              <w:spacing w:before="0" w:after="0" w:line="240" w:lineRule="auto"/>
              <w:ind w:left="0" w:right="0" w:firstLine="220"/>
              <w:jc w:val="left"/>
            </w:pPr>
            <w:r>
              <w:rPr>
                <w:rStyle w:val="CharStyle19"/>
              </w:rPr>
              <w:t>- члена комиссии, специалиста-эксперта отдела контроля торгов,</w:t>
            </w:r>
          </w:p>
          <w:p>
            <w:pPr>
              <w:pStyle w:val="Style18"/>
              <w:keepNext w:val="0"/>
              <w:keepLines w:val="0"/>
              <w:widowControl w:val="0"/>
              <w:shd w:val="clear" w:color="auto" w:fill="auto"/>
              <w:bidi w:val="0"/>
              <w:spacing w:before="0" w:after="0" w:line="240" w:lineRule="auto"/>
              <w:ind w:left="380" w:right="0" w:hanging="160"/>
              <w:jc w:val="left"/>
            </w:pPr>
            <w:r>
              <w:rPr>
                <w:rStyle w:val="CharStyle19"/>
              </w:rPr>
              <w:t>- члена комиссии, специалиста-эксперта отдела контроля государственных и муниципальных закупок,</w:t>
            </w:r>
          </w:p>
        </w:tc>
      </w:tr>
    </w:tbl>
    <w:p>
      <w:pPr>
        <w:pStyle w:val="Style16"/>
        <w:keepNext w:val="0"/>
        <w:keepLines w:val="0"/>
        <w:widowControl w:val="0"/>
        <w:shd w:val="clear" w:color="auto" w:fill="auto"/>
        <w:bidi w:val="0"/>
        <w:spacing w:before="0" w:after="0" w:line="240" w:lineRule="auto"/>
        <w:ind w:left="0" w:right="0" w:firstLine="0"/>
        <w:jc w:val="left"/>
      </w:pPr>
      <w:r>
        <w:rPr>
          <w:rStyle w:val="CharStyle17"/>
        </w:rPr>
        <w:t>при участии посредством видео-конференц-связи:</w:t>
      </w:r>
    </w:p>
    <w:p>
      <w:pPr>
        <w:widowControl w:val="0"/>
        <w:spacing w:after="219" w:line="1" w:lineRule="exact"/>
      </w:pPr>
    </w:p>
    <w:p>
      <w:pPr>
        <w:pStyle w:val="Style12"/>
        <w:keepNext w:val="0"/>
        <w:keepLines w:val="0"/>
        <w:widowControl w:val="0"/>
        <w:numPr>
          <w:ilvl w:val="0"/>
          <w:numId w:val="3"/>
        </w:numPr>
        <w:shd w:val="clear" w:color="auto" w:fill="auto"/>
        <w:tabs>
          <w:tab w:pos="286" w:val="left"/>
        </w:tabs>
        <w:bidi w:val="0"/>
        <w:spacing w:before="0" w:after="0" w:line="240" w:lineRule="auto"/>
        <w:ind w:left="220" w:right="0" w:hanging="22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371600" cy="1374775"/>
                <wp:wrapSquare wrapText="right"/>
                <wp:docPr id="11" name="Shape 11"/>
                <a:graphic xmlns:a="http://schemas.openxmlformats.org/drawingml/2006/main">
                  <a:graphicData uri="http://schemas.microsoft.com/office/word/2010/wordprocessingShape">
                    <wps:wsp>
                      <wps:cNvSpPr txBox="1"/>
                      <wps:spPr>
                        <a:xfrm>
                          <a:ext cx="1371600" cy="1374775"/>
                        </a:xfrm>
                        <a:prstGeom prst="rect"/>
                        <a:noFill/>
                      </wps:spPr>
                      <wps:txbx>
                        <w:txbxContent>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Суминой С.Ю.</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Когогиной И.И.</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Абдулхаевой Е.Н.</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Самсонова А.В.</w:t>
                            </w:r>
                          </w:p>
                        </w:txbxContent>
                      </wps:txbx>
                      <wps:bodyPr lIns="0" tIns="0" rIns="0" bIns="0">
                        <a:noAutoFit/>
                      </wps:bodyPr>
                    </wps:wsp>
                  </a:graphicData>
                </a:graphic>
              </wp:anchor>
            </w:drawing>
          </mc:Choice>
          <mc:Fallback>
            <w:pict>
              <v:shape id="_x0000_s1037" type="#_x0000_t202" style="position:absolute;margin-left:55.800000000000004pt;margin-top:1.pt;width:108.pt;height:10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Суминой С.Ю.</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Когогиной И.И.</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Абдулхаевой Е.Н.</w:t>
                      </w:r>
                    </w:p>
                    <w:p>
                      <w:pPr>
                        <w:pStyle w:val="Style12"/>
                        <w:keepNext w:val="0"/>
                        <w:keepLines w:val="0"/>
                        <w:widowControl w:val="0"/>
                        <w:numPr>
                          <w:ilvl w:val="0"/>
                          <w:numId w:val="1"/>
                        </w:numPr>
                        <w:shd w:val="clear" w:color="auto" w:fill="auto"/>
                        <w:tabs>
                          <w:tab w:pos="158" w:val="left"/>
                        </w:tabs>
                        <w:bidi w:val="0"/>
                        <w:spacing w:before="0" w:after="260" w:line="240" w:lineRule="auto"/>
                        <w:ind w:left="0" w:right="0" w:firstLine="0"/>
                        <w:jc w:val="left"/>
                      </w:pPr>
                      <w:r>
                        <w:rPr>
                          <w:rStyle w:val="CharStyle13"/>
                        </w:rPr>
                        <w:t>Самсонова А.В.</w:t>
                      </w:r>
                    </w:p>
                  </w:txbxContent>
                </v:textbox>
                <w10:wrap type="square" side="right" anchorx="page"/>
              </v:shape>
            </w:pict>
          </mc:Fallback>
        </mc:AlternateContent>
      </w:r>
      <w:r>
        <w:rPr>
          <w:rStyle w:val="CharStyle13"/>
        </w:rPr>
        <w:t>представителя ГКУ НО «ЦРЗ НО» по доверенности от 26.11.2025 №7;</w:t>
      </w:r>
    </w:p>
    <w:p>
      <w:pPr>
        <w:pStyle w:val="Style12"/>
        <w:keepNext w:val="0"/>
        <w:keepLines w:val="0"/>
        <w:widowControl w:val="0"/>
        <w:numPr>
          <w:ilvl w:val="0"/>
          <w:numId w:val="3"/>
        </w:numPr>
        <w:shd w:val="clear" w:color="auto" w:fill="auto"/>
        <w:tabs>
          <w:tab w:pos="286" w:val="left"/>
        </w:tabs>
        <w:bidi w:val="0"/>
        <w:spacing w:before="0" w:after="0" w:line="240" w:lineRule="auto"/>
        <w:ind w:left="220" w:right="0" w:hanging="220"/>
        <w:jc w:val="both"/>
      </w:pPr>
      <w:r>
        <w:rPr>
          <w:rStyle w:val="CharStyle13"/>
        </w:rPr>
        <w:t>представителя ИП Барышевой М.В. по доверенности от 07.04.2026 №1;</w:t>
      </w:r>
    </w:p>
    <w:p>
      <w:pPr>
        <w:pStyle w:val="Style12"/>
        <w:keepNext w:val="0"/>
        <w:keepLines w:val="0"/>
        <w:widowControl w:val="0"/>
        <w:numPr>
          <w:ilvl w:val="0"/>
          <w:numId w:val="3"/>
        </w:numPr>
        <w:shd w:val="clear" w:color="auto" w:fill="auto"/>
        <w:tabs>
          <w:tab w:pos="286" w:val="left"/>
        </w:tabs>
        <w:bidi w:val="0"/>
        <w:spacing w:before="0" w:after="0" w:line="240" w:lineRule="auto"/>
        <w:ind w:left="220" w:right="0" w:hanging="220"/>
        <w:jc w:val="both"/>
      </w:pPr>
      <w:r>
        <w:rPr>
          <w:rStyle w:val="CharStyle13"/>
        </w:rPr>
        <w:t>представителя ГБОУ ДПО «Нижегородский институт развития образования» по доверенности от 12.05.2026 №12-05-26;</w:t>
      </w:r>
    </w:p>
    <w:p>
      <w:pPr>
        <w:pStyle w:val="Style12"/>
        <w:keepNext w:val="0"/>
        <w:keepLines w:val="0"/>
        <w:widowControl w:val="0"/>
        <w:numPr>
          <w:ilvl w:val="0"/>
          <w:numId w:val="3"/>
        </w:numPr>
        <w:shd w:val="clear" w:color="auto" w:fill="auto"/>
        <w:tabs>
          <w:tab w:pos="286" w:val="left"/>
        </w:tabs>
        <w:bidi w:val="0"/>
        <w:spacing w:before="0" w:after="260" w:line="240" w:lineRule="auto"/>
        <w:ind w:left="220" w:right="0" w:hanging="220"/>
        <w:jc w:val="both"/>
      </w:pPr>
      <w:r>
        <w:rPr>
          <w:rStyle w:val="CharStyle13"/>
        </w:rPr>
        <w:t>представителя ГБОУ ДПО «Нижегородский институт развития образования» по доверенности от 30.03.2026 №30-03-26;</w:t>
      </w:r>
    </w:p>
    <w:p>
      <w:pPr>
        <w:widowControl w:val="0"/>
        <w:spacing w:line="1" w:lineRule="exact"/>
      </w:pPr>
      <w:r>
        <w:drawing>
          <wp:anchor distT="0" distB="0" distL="0" distR="0" simplePos="0" relativeHeight="125829382" behindDoc="0" locked="0" layoutInCell="1" allowOverlap="1">
            <wp:simplePos x="0" y="0"/>
            <wp:positionH relativeFrom="page">
              <wp:posOffset>717550</wp:posOffset>
            </wp:positionH>
            <wp:positionV relativeFrom="paragraph">
              <wp:posOffset>0</wp:posOffset>
            </wp:positionV>
            <wp:extent cx="1298575" cy="41465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298575" cy="414655"/>
                    </a:xfrm>
                    <a:prstGeom prst="rect"/>
                  </pic:spPr>
                </pic:pic>
              </a:graphicData>
            </a:graphic>
          </wp:anchor>
        </w:drawing>
      </w:r>
    </w:p>
    <w:p>
      <w:pPr>
        <w:pStyle w:val="Style12"/>
        <w:keepNext w:val="0"/>
        <w:keepLines w:val="0"/>
        <w:widowControl w:val="0"/>
        <w:numPr>
          <w:ilvl w:val="0"/>
          <w:numId w:val="3"/>
        </w:numPr>
        <w:shd w:val="clear" w:color="auto" w:fill="auto"/>
        <w:tabs>
          <w:tab w:pos="231" w:val="left"/>
        </w:tabs>
        <w:bidi w:val="0"/>
        <w:spacing w:before="0" w:after="260" w:line="240" w:lineRule="auto"/>
        <w:ind w:left="2580" w:right="0" w:hanging="2580"/>
        <w:jc w:val="both"/>
      </w:pPr>
      <w:r>
        <w:rPr>
          <w:rStyle w:val="CharStyle13"/>
        </w:rPr>
        <w:t xml:space="preserve">Смирнова А.М. </w:t>
      </w:r>
      <w:r>
        <w:rPr>
          <w:rStyle w:val="CharStyle13"/>
          <w:lang w:val="en-US" w:eastAsia="en-US"/>
        </w:rPr>
        <w:t xml:space="preserve">- </w:t>
      </w:r>
      <w:r>
        <w:rPr>
          <w:rStyle w:val="CharStyle13"/>
        </w:rPr>
        <w:t xml:space="preserve">представителя ГБОУ ДПО «Нижегородский институт развития образования» по доверенности от </w:t>
      </w:r>
      <w:r>
        <w:rPr>
          <w:rStyle w:val="CharStyle13"/>
          <w:lang w:val="en-US" w:eastAsia="en-US"/>
        </w:rPr>
        <w:t>30.03.2026 №30-03-26,</w:t>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рассмотрев посредством видео-конференц-связи жалобу индивидуального предпринимателя Барышевой Марины Викторовны (далее также </w:t>
      </w:r>
      <w:r>
        <w:rPr>
          <w:rStyle w:val="CharStyle13"/>
          <w:lang w:val="en-US" w:eastAsia="en-US"/>
        </w:rPr>
        <w:t xml:space="preserve">– </w:t>
      </w:r>
      <w:r>
        <w:rPr>
          <w:rStyle w:val="CharStyle13"/>
        </w:rPr>
        <w:t xml:space="preserve">ИП Барышева Марина Викторовна, заявитель) о нарушении Государственным бюджетным образовательным учреждением дополнительного профессионального образования «Нижегородский институт развития образования» (далее </w:t>
      </w:r>
      <w:r>
        <w:rPr>
          <w:rStyle w:val="CharStyle13"/>
          <w:lang w:val="en-US" w:eastAsia="en-US"/>
        </w:rPr>
        <w:t xml:space="preserve">– </w:t>
      </w:r>
      <w:r>
        <w:rPr>
          <w:rStyle w:val="CharStyle13"/>
        </w:rPr>
        <w:t xml:space="preserve">ГБОУ ДПО «Нижегородский институт развития образования», Заказчик)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«"Шифр: </w:t>
      </w:r>
      <w:r>
        <w:rPr>
          <w:rStyle w:val="CharStyle13"/>
          <w:lang w:val="en-US" w:eastAsia="en-US"/>
        </w:rPr>
        <w:t xml:space="preserve">52- </w:t>
      </w:r>
      <w:r>
        <w:rPr>
          <w:rStyle w:val="CharStyle13"/>
        </w:rPr>
        <w:t xml:space="preserve">2026-нр55590 Поставка набора демонстрационного по механическим явлениям на оснащение предметных кабинетов общеобразовательных организаций оборудованием, средствами обучения и воспитания в целях достижения результатов федерального проекта "Все лучшее детям", регионального проекта "Все лучшее детям", государственной программы РФ "Развитие образования", национального проекта «Молодежь и дети» в </w:t>
      </w:r>
      <w:r>
        <w:rPr>
          <w:rStyle w:val="CharStyle13"/>
          <w:lang w:val="en-US" w:eastAsia="en-US"/>
        </w:rPr>
        <w:t xml:space="preserve">2026 </w:t>
      </w:r>
      <w:r>
        <w:rPr>
          <w:rStyle w:val="CharStyle13"/>
        </w:rPr>
        <w:t xml:space="preserve">году"», номер извещения </w:t>
      </w:r>
      <w:r>
        <w:rPr>
          <w:rStyle w:val="CharStyle13"/>
          <w:lang w:val="en-US" w:eastAsia="en-US"/>
        </w:rPr>
        <w:t>0832200006626000283,</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«"Шифр: 52-2026-нр55590 Поставка набора демонстрационного по механическим явлениям на оснащение предметных кабинетов общеобразовательных организаций оборудованием, средствами обучения и воспитания в целях достижения результатов федерального проекта "Все лучшее детям", регионального проекта "Все лучшее детям", государственной программы РФ "Развитие образования", национального проекта «Молодежь и дети» в </w:t>
      </w:r>
      <w:r>
        <w:rPr>
          <w:rStyle w:val="CharStyle13"/>
          <w:lang w:val="en-US" w:eastAsia="en-US"/>
        </w:rPr>
        <w:t xml:space="preserve">2026 </w:t>
      </w:r>
      <w:r>
        <w:rPr>
          <w:rStyle w:val="CharStyle13"/>
        </w:rPr>
        <w:t xml:space="preserve">году"», номер извещения </w:t>
      </w:r>
      <w:r>
        <w:rPr>
          <w:rStyle w:val="CharStyle13"/>
          <w:lang w:val="en-US" w:eastAsia="en-US"/>
        </w:rPr>
        <w:t>0832200006626000283.</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ходе заседания Комиссии Нижегородского УФАС России </w:t>
      </w:r>
      <w:r>
        <w:rPr>
          <w:rStyle w:val="CharStyle13"/>
          <w:lang w:val="en-US" w:eastAsia="en-US"/>
        </w:rPr>
        <w:t xml:space="preserve">13.05.2026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11 </w:t>
      </w:r>
      <w:r>
        <w:rPr>
          <w:rStyle w:val="CharStyle13"/>
        </w:rPr>
        <w:t xml:space="preserve">часов </w:t>
      </w:r>
      <w:r>
        <w:rPr>
          <w:rStyle w:val="CharStyle13"/>
          <w:lang w:val="en-US" w:eastAsia="en-US"/>
        </w:rPr>
        <w:t xml:space="preserve">30 </w:t>
      </w:r>
      <w:r>
        <w:rPr>
          <w:rStyle w:val="CharStyle13"/>
        </w:rPr>
        <w:t xml:space="preserve">минут </w:t>
      </w:r>
      <w:r>
        <w:rPr>
          <w:rStyle w:val="CharStyle13"/>
          <w:lang w:val="en-US" w:eastAsia="en-US"/>
        </w:rPr>
        <w:t>14.05.2026.</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5"/>
        </w:numPr>
        <w:shd w:val="clear" w:color="auto" w:fill="auto"/>
        <w:tabs>
          <w:tab w:pos="999" w:val="left"/>
        </w:tabs>
        <w:bidi w:val="0"/>
        <w:spacing w:before="0" w:after="280" w:line="240" w:lineRule="auto"/>
        <w:ind w:left="0" w:right="0" w:firstLine="760"/>
        <w:jc w:val="both"/>
      </w:pPr>
      <w:r>
        <w:rPr>
          <w:rStyle w:val="CharStyle13"/>
          <w:lang w:val="en-US" w:eastAsia="en-US"/>
        </w:rPr>
        <w:t xml:space="preserve">. 20.04.2026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«Фабрикант» </w:t>
      </w:r>
      <w:r>
        <w:rPr>
          <w:rStyle w:val="CharStyle13"/>
          <w:lang w:val="en-US" w:eastAsia="en-US"/>
        </w:rPr>
        <w:t xml:space="preserve">– </w:t>
      </w:r>
      <w:r>
        <w:rPr>
          <w:rStyle w:val="CharStyle13"/>
        </w:rPr>
        <w:t xml:space="preserve">размещено извещение по объекту закупки: «"Шифр: </w:t>
      </w:r>
      <w:r>
        <w:rPr>
          <w:rStyle w:val="CharStyle13"/>
          <w:lang w:val="en-US" w:eastAsia="en-US"/>
        </w:rPr>
        <w:t xml:space="preserve">52- </w:t>
      </w:r>
      <w:r>
        <w:rPr>
          <w:rStyle w:val="CharStyle13"/>
        </w:rPr>
        <w:t>2026-нр55590 Поставка набора демонстрационного по механическим явлениям на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оснащение предметных кабинетов общеобразовательных организаций оборудованием, средствами обучения и воспитания в целях достижения результатов федерального проекта "Все лучшее детям", регионального проекта "Все лучшее детям", государственной программы РФ "Развитие образования", национального проекта «Молодежь и дети» в </w:t>
      </w:r>
      <w:r>
        <w:rPr>
          <w:rStyle w:val="CharStyle13"/>
          <w:lang w:val="en-US" w:eastAsia="en-US"/>
        </w:rPr>
        <w:t xml:space="preserve">2026 </w:t>
      </w:r>
      <w:r>
        <w:rPr>
          <w:rStyle w:val="CharStyle13"/>
        </w:rPr>
        <w:t xml:space="preserve">году"», номер извещения </w:t>
      </w:r>
      <w:r>
        <w:rPr>
          <w:rStyle w:val="CharStyle13"/>
          <w:lang w:val="en-US" w:eastAsia="en-US"/>
        </w:rPr>
        <w:t>0832200006626000283.</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19 035 000,00 </w:t>
      </w:r>
      <w:r>
        <w:rPr>
          <w:rStyle w:val="CharStyle13"/>
        </w:rPr>
        <w:t>руб.</w:t>
      </w:r>
    </w:p>
    <w:p>
      <w:pPr>
        <w:pStyle w:val="Style12"/>
        <w:keepNext w:val="0"/>
        <w:keepLines w:val="0"/>
        <w:widowControl w:val="0"/>
        <w:numPr>
          <w:ilvl w:val="0"/>
          <w:numId w:val="5"/>
        </w:numPr>
        <w:shd w:val="clear" w:color="auto" w:fill="auto"/>
        <w:tabs>
          <w:tab w:pos="961" w:val="left"/>
        </w:tabs>
        <w:bidi w:val="0"/>
        <w:spacing w:before="0" w:after="0" w:line="240" w:lineRule="auto"/>
        <w:ind w:left="0" w:right="0" w:firstLine="760"/>
        <w:jc w:val="both"/>
      </w:pPr>
      <w:r>
        <w:rPr>
          <w:rStyle w:val="CharStyle13"/>
          <w:lang w:val="en-US" w:eastAsia="en-US"/>
        </w:rPr>
        <w:t xml:space="preserve">. </w:t>
      </w:r>
      <w:r>
        <w:rPr>
          <w:rStyle w:val="CharStyle13"/>
        </w:rPr>
        <w:t xml:space="preserve">Заявитель жалобы предполагает, что Заказчик необоснованно отклонил заявку Заявителя по </w:t>
      </w:r>
      <w:r>
        <w:rPr>
          <w:rStyle w:val="CharStyle13"/>
          <w:lang w:val="en-US" w:eastAsia="en-US"/>
        </w:rPr>
        <w:t xml:space="preserve">2 </w:t>
      </w:r>
      <w:r>
        <w:rPr>
          <w:rStyle w:val="CharStyle13"/>
        </w:rPr>
        <w:t>причинам:</w:t>
      </w:r>
    </w:p>
    <w:p>
      <w:pPr>
        <w:pStyle w:val="Style12"/>
        <w:keepNext w:val="0"/>
        <w:keepLines w:val="0"/>
        <w:widowControl w:val="0"/>
        <w:numPr>
          <w:ilvl w:val="0"/>
          <w:numId w:val="7"/>
        </w:numPr>
        <w:shd w:val="clear" w:color="auto" w:fill="auto"/>
        <w:tabs>
          <w:tab w:pos="1426" w:val="left"/>
        </w:tabs>
        <w:bidi w:val="0"/>
        <w:spacing w:before="0" w:after="0" w:line="240" w:lineRule="auto"/>
        <w:ind w:left="0" w:right="0" w:firstLine="760"/>
        <w:jc w:val="both"/>
      </w:pPr>
      <w:r>
        <w:rPr>
          <w:rStyle w:val="CharStyle13"/>
        </w:rPr>
        <w:t xml:space="preserve">выявление недостоверной информации, содержащейся в заявке на участие в закупке (Отклонение по п. </w:t>
      </w:r>
      <w:r>
        <w:rPr>
          <w:rStyle w:val="CharStyle13"/>
          <w:lang w:val="en-US" w:eastAsia="en-US"/>
        </w:rPr>
        <w:t xml:space="preserve">8 </w:t>
      </w:r>
      <w:r>
        <w:rPr>
          <w:rStyle w:val="CharStyle13"/>
        </w:rPr>
        <w:t xml:space="preserve">ч. </w:t>
      </w:r>
      <w:r>
        <w:rPr>
          <w:rStyle w:val="CharStyle13"/>
          <w:lang w:val="en-US" w:eastAsia="en-US"/>
        </w:rPr>
        <w:t xml:space="preserve">12 </w:t>
      </w:r>
      <w:r>
        <w:rPr>
          <w:rStyle w:val="CharStyle13"/>
        </w:rPr>
        <w:t xml:space="preserve">ст. </w:t>
      </w:r>
      <w:r>
        <w:rPr>
          <w:rStyle w:val="CharStyle13"/>
          <w:lang w:val="en-US" w:eastAsia="en-US"/>
        </w:rPr>
        <w:t xml:space="preserve">48 </w:t>
      </w:r>
      <w:r>
        <w:rPr>
          <w:rStyle w:val="CharStyle13"/>
        </w:rPr>
        <w:t xml:space="preserve">Закона </w:t>
      </w:r>
      <w:r>
        <w:rPr>
          <w:rStyle w:val="CharStyle13"/>
          <w:lang w:val="en-US" w:eastAsia="en-US"/>
        </w:rPr>
        <w:t xml:space="preserve">№ </w:t>
      </w:r>
      <w:r>
        <w:rPr>
          <w:rStyle w:val="CharStyle13"/>
        </w:rPr>
        <w:t>44-ФЗ) в заявке участника представлена недостоверная информация, а именно: представленный участником номер из реестра российской промышленной продукции не подтверждает страну происхождения товара "Набор демонстрационный по механическим явлениям". Закупаемый набор демонстрационный по механическим явлениям является самостоятельным товаром, в отношении которого имеется отдельная запись в реестре российской промышленной продукции;</w:t>
      </w:r>
    </w:p>
    <w:p>
      <w:pPr>
        <w:pStyle w:val="Style12"/>
        <w:keepNext w:val="0"/>
        <w:keepLines w:val="0"/>
        <w:widowControl w:val="0"/>
        <w:numPr>
          <w:ilvl w:val="0"/>
          <w:numId w:val="7"/>
        </w:numPr>
        <w:shd w:val="clear" w:color="auto" w:fill="auto"/>
        <w:tabs>
          <w:tab w:pos="966" w:val="left"/>
        </w:tabs>
        <w:bidi w:val="0"/>
        <w:spacing w:before="0" w:after="0" w:line="240" w:lineRule="auto"/>
        <w:ind w:left="0" w:right="0" w:firstLine="760"/>
        <w:jc w:val="both"/>
      </w:pPr>
      <w:r>
        <w:rPr>
          <w:rStyle w:val="CharStyle13"/>
        </w:rPr>
        <w:t>Выявлена недостоверная информация, содержащаяся в заявке на участие в закупке. Участником закупки в качестве товарного знака указано: «ЗАРНИЦА».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нарушение пункта </w:t>
      </w:r>
      <w:r>
        <w:rPr>
          <w:rStyle w:val="CharStyle13"/>
          <w:lang w:val="en-US" w:eastAsia="en-US"/>
        </w:rPr>
        <w:t xml:space="preserve">3.4 </w:t>
      </w:r>
      <w:r>
        <w:rPr>
          <w:rStyle w:val="CharStyle13"/>
        </w:rPr>
        <w:t xml:space="preserve">части </w:t>
      </w:r>
      <w:r>
        <w:rPr>
          <w:rStyle w:val="CharStyle13"/>
          <w:lang w:val="en-US" w:eastAsia="en-US"/>
        </w:rPr>
        <w:t xml:space="preserve">11 </w:t>
      </w:r>
      <w:r>
        <w:rPr>
          <w:rStyle w:val="CharStyle13"/>
        </w:rPr>
        <w:t xml:space="preserve">раздела </w:t>
      </w:r>
      <w:r>
        <w:rPr>
          <w:rStyle w:val="CharStyle13"/>
          <w:lang w:val="en-US" w:eastAsia="en-US"/>
        </w:rPr>
        <w:t xml:space="preserve">I </w:t>
      </w:r>
      <w:r>
        <w:rPr>
          <w:rStyle w:val="CharStyle13"/>
        </w:rPr>
        <w:t xml:space="preserve">извещения указанное словесное обозначение в соответствии с общедоступными данными </w:t>
      </w:r>
      <w:r>
        <w:fldChar w:fldCharType="begin"/>
      </w:r>
      <w:r>
        <w:rPr/>
        <w:instrText> HYPERLINK "https://searchplatform.rospatent.gov.ru/trademarks" </w:instrText>
      </w:r>
      <w:r>
        <w:fldChar w:fldCharType="separate"/>
      </w:r>
      <w:r>
        <w:rPr>
          <w:rStyle w:val="CharStyle13"/>
          <w:lang w:val="en-US" w:eastAsia="en-US"/>
        </w:rPr>
        <w:t>https://searchplatform.rospatent.gov.ru/trademarks</w:t>
      </w:r>
      <w:r>
        <w:fldChar w:fldCharType="end"/>
      </w:r>
      <w:r>
        <w:rPr>
          <w:rStyle w:val="CharStyle13"/>
          <w:lang w:val="en-US" w:eastAsia="en-US"/>
        </w:rPr>
        <w:t xml:space="preserve"> </w:t>
      </w:r>
      <w:r>
        <w:rPr>
          <w:rStyle w:val="CharStyle13"/>
        </w:rPr>
        <w:t>не является зарегистрированным товарным знаком. (Согласно инструкции по заполнению заявки, если в качестве товарного знака зарегистрировано изобразительное, объемное и другое обозначение или их комбинации участник закупки указывает номер заявки или номер регистрации).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w:t>
      </w:r>
    </w:p>
    <w:p>
      <w:pPr>
        <w:pStyle w:val="Style12"/>
        <w:keepNext w:val="0"/>
        <w:keepLines w:val="0"/>
        <w:widowControl w:val="0"/>
        <w:shd w:val="clear" w:color="auto" w:fill="auto"/>
        <w:bidi w:val="0"/>
        <w:spacing w:before="0" w:after="0" w:line="240" w:lineRule="auto"/>
        <w:ind w:left="0" w:right="0" w:firstLine="0"/>
        <w:jc w:val="both"/>
      </w:pPr>
      <w:r>
        <w:rPr>
          <w:rStyle w:val="CharStyle13"/>
        </w:rPr>
        <w:t>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пункта </w:t>
      </w:r>
      <w:r>
        <w:rPr>
          <w:rStyle w:val="CharStyle13"/>
          <w:lang w:val="en-US" w:eastAsia="en-US"/>
        </w:rPr>
        <w:t xml:space="preserve">3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для участия в конкурентном способе заявка на участие в закупке, если иное не предусмотрено Федеральным законом №44-ФЗ, должна содержать информацию и документы предусмотренные нормативными правовыми актами, принятыми в соответствии с частями </w:t>
      </w:r>
      <w:r>
        <w:rPr>
          <w:rStyle w:val="CharStyle13"/>
          <w:lang w:val="en-US" w:eastAsia="en-US"/>
        </w:rPr>
        <w:t xml:space="preserve">3 </w:t>
      </w:r>
      <w:r>
        <w:rPr>
          <w:rStyle w:val="CharStyle13"/>
        </w:rPr>
        <w:t xml:space="preserve">и </w:t>
      </w:r>
      <w:r>
        <w:rPr>
          <w:rStyle w:val="CharStyle13"/>
          <w:lang w:val="en-US" w:eastAsia="en-US"/>
        </w:rPr>
        <w:t xml:space="preserve">4 </w:t>
      </w:r>
      <w:r>
        <w:rPr>
          <w:rStyle w:val="CharStyle13"/>
        </w:rPr>
        <w:t xml:space="preserve">статьи </w:t>
      </w:r>
      <w:r>
        <w:rPr>
          <w:rStyle w:val="CharStyle13"/>
          <w:lang w:val="en-US" w:eastAsia="en-US"/>
        </w:rPr>
        <w:t xml:space="preserve">14 </w:t>
      </w:r>
      <w:r>
        <w:rPr>
          <w:rStyle w:val="CharStyle13"/>
        </w:rPr>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Pr>
          <w:rStyle w:val="CharStyle13"/>
          <w:lang w:val="en-US" w:eastAsia="en-US"/>
        </w:rPr>
        <w:t xml:space="preserve">- </w:t>
      </w:r>
      <w:r>
        <w:rPr>
          <w:rStyle w:val="CharStyle13"/>
        </w:rPr>
        <w:t>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w:t>
      </w:r>
    </w:p>
    <w:p>
      <w:pPr>
        <w:pStyle w:val="Style12"/>
        <w:keepNext w:val="0"/>
        <w:keepLines w:val="0"/>
        <w:widowControl w:val="0"/>
        <w:shd w:val="clear" w:color="auto" w:fill="auto"/>
        <w:bidi w:val="0"/>
        <w:spacing w:before="0" w:after="0" w:line="240" w:lineRule="auto"/>
        <w:ind w:left="0" w:right="0" w:firstLine="0"/>
        <w:jc w:val="both"/>
      </w:pPr>
      <w:r>
        <w:rPr>
          <w:rStyle w:val="CharStyle13"/>
        </w:rPr>
        <w:t>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Постановлением Правительства Российской Федерации от </w:t>
      </w:r>
      <w:r>
        <w:rPr>
          <w:rStyle w:val="CharStyle13"/>
          <w:lang w:val="en-US" w:eastAsia="en-US"/>
        </w:rPr>
        <w:t xml:space="preserve">23.12.2024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№1875) </w:t>
      </w:r>
      <w:r>
        <w:rPr>
          <w:rStyle w:val="CharStyle13"/>
        </w:rPr>
        <w:t xml:space="preserve">установлено, что в соответствии со статьями </w:t>
      </w:r>
      <w:r>
        <w:rPr>
          <w:rStyle w:val="CharStyle13"/>
          <w:lang w:val="en-US" w:eastAsia="en-US"/>
        </w:rPr>
        <w:t xml:space="preserve">14, 22, 27, 33 </w:t>
      </w:r>
      <w:r>
        <w:rPr>
          <w:rStyle w:val="CharStyle13"/>
        </w:rPr>
        <w:t xml:space="preserve">и </w:t>
      </w:r>
      <w:r>
        <w:rPr>
          <w:rStyle w:val="CharStyle13"/>
          <w:lang w:val="en-US" w:eastAsia="en-US"/>
        </w:rPr>
        <w:t xml:space="preserve">34 </w:t>
      </w:r>
      <w:r>
        <w:rPr>
          <w:rStyle w:val="CharStyle13"/>
        </w:rPr>
        <w:t xml:space="preserve">Федерального закона "О контрактной системе в сфере закупок товаров, работ, услуг для обеспечения государственных и муниципальных нужд", статьями </w:t>
      </w:r>
      <w:r>
        <w:rPr>
          <w:rStyle w:val="CharStyle13"/>
          <w:lang w:val="en-US" w:eastAsia="en-US"/>
        </w:rPr>
        <w:t xml:space="preserve">3 </w:t>
      </w:r>
      <w:r>
        <w:rPr>
          <w:rStyle w:val="CharStyle13"/>
        </w:rPr>
        <w:t xml:space="preserve">и </w:t>
      </w:r>
      <w:r>
        <w:rPr>
          <w:rStyle w:val="CharStyle13"/>
          <w:lang w:val="en-US" w:eastAsia="en-US"/>
        </w:rPr>
        <w:t xml:space="preserve">3.1-4 </w:t>
      </w:r>
      <w:r>
        <w:rPr>
          <w:rStyle w:val="CharStyle13"/>
        </w:rPr>
        <w:t>Федерального закона "О закупках товаров, работ, услуг отдельными видами юридических лиц" Правительство Российской Федерации устанавливает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3"/>
          <w:lang w:val="en-US" w:eastAsia="en-US"/>
        </w:rPr>
        <w:t xml:space="preserve">- </w:t>
      </w:r>
      <w:r>
        <w:rPr>
          <w:rStyle w:val="CharStyle13"/>
        </w:rPr>
        <w:t xml:space="preserve">иностранные лица), по перечню согласно приложению </w:t>
      </w:r>
      <w:r>
        <w:rPr>
          <w:rStyle w:val="CharStyle13"/>
          <w:lang w:val="en-US" w:eastAsia="en-US"/>
        </w:rPr>
        <w:t xml:space="preserve">№1, </w:t>
      </w:r>
      <w:r>
        <w:rPr>
          <w:rStyle w:val="CharStyle13"/>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3"/>
          <w:lang w:val="en-US" w:eastAsia="en-US"/>
        </w:rPr>
        <w:t>№2;</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Заказчиком установлены следующие коды ОКПД2 </w:t>
      </w:r>
      <w:r>
        <w:rPr>
          <w:rStyle w:val="CharStyle13"/>
          <w:lang w:val="en-US" w:eastAsia="en-US"/>
        </w:rPr>
        <w:t xml:space="preserve">— 32.99.53.130. </w:t>
      </w:r>
      <w:r>
        <w:rPr>
          <w:rStyle w:val="CharStyle13"/>
        </w:rPr>
        <w:t xml:space="preserve">Данная позиция подпадают под действие Постановления </w:t>
      </w:r>
      <w:r>
        <w:rPr>
          <w:rStyle w:val="CharStyle13"/>
          <w:lang w:val="en-US" w:eastAsia="en-US"/>
        </w:rPr>
        <w:t xml:space="preserve">№1875, </w:t>
      </w:r>
      <w:r>
        <w:rPr>
          <w:rStyle w:val="CharStyle13"/>
        </w:rPr>
        <w:t xml:space="preserve">в связи с чем Заказчиком в извещении о проведении электронного аукциона установлено ограничение в отношении товара с кодом ОКПД2 </w:t>
      </w:r>
      <w:r>
        <w:rPr>
          <w:rStyle w:val="CharStyle13"/>
          <w:lang w:val="en-US" w:eastAsia="en-US"/>
        </w:rPr>
        <w:t>32.99.53.130.</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3 </w:t>
      </w:r>
      <w:r>
        <w:rPr>
          <w:rStyle w:val="CharStyle13"/>
        </w:rPr>
        <w:t xml:space="preserve">Постановления Правительства Российской Федерации от </w:t>
      </w:r>
      <w:r>
        <w:rPr>
          <w:rStyle w:val="CharStyle13"/>
          <w:lang w:val="en-US" w:eastAsia="en-US"/>
        </w:rPr>
        <w:t xml:space="preserve">23.12.2024 №1875 </w:t>
      </w:r>
      <w:r>
        <w:rPr>
          <w:rStyle w:val="CharStyle13"/>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а) для подтверждения происхождения товаров,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№1 </w:t>
      </w:r>
      <w:r>
        <w:rPr>
          <w:rStyle w:val="CharStyle13"/>
        </w:rPr>
        <w:t xml:space="preserve">к настоящему постановлению,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№2 </w:t>
      </w:r>
      <w:r>
        <w:rPr>
          <w:rStyle w:val="CharStyle13"/>
        </w:rPr>
        <w:t xml:space="preserve">к настоящему постановлению, приложении </w:t>
      </w:r>
      <w:r>
        <w:rPr>
          <w:rStyle w:val="CharStyle13"/>
          <w:lang w:val="en-US" w:eastAsia="en-US"/>
        </w:rPr>
        <w:t xml:space="preserve">№3 </w:t>
      </w:r>
      <w:r>
        <w:rPr>
          <w:rStyle w:val="CharStyle13"/>
        </w:rPr>
        <w:t xml:space="preserve">к настоящему постановлению, из Российской Федерации </w:t>
      </w:r>
      <w:r>
        <w:rPr>
          <w:rStyle w:val="CharStyle13"/>
          <w:lang w:val="en-US" w:eastAsia="en-US"/>
        </w:rPr>
        <w:t xml:space="preserve">- </w:t>
      </w:r>
      <w:r>
        <w:rPr>
          <w:rStyle w:val="CharStyle13"/>
        </w:rPr>
        <w:t xml:space="preserve">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Федерального закона "О промышленной политике в Российской Федерации", содержащей в том числе: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информацию о совокупном количестве баллов за выполнение (освоение) на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 xml:space="preserve">"О подтверждении производства российской промышленной продукции"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Пунктом </w:t>
      </w:r>
      <w:r>
        <w:rPr>
          <w:rStyle w:val="CharStyle13"/>
          <w:lang w:val="en-US" w:eastAsia="en-US"/>
        </w:rPr>
        <w:t xml:space="preserve">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04.05.2026 </w:t>
      </w:r>
      <w:r>
        <w:rPr>
          <w:rStyle w:val="CharStyle13"/>
        </w:rPr>
        <w:t xml:space="preserve">№ИЭА1 заявка </w:t>
      </w:r>
      <w:r>
        <w:rPr>
          <w:rStyle w:val="CharStyle13"/>
          <w:lang w:val="en-US" w:eastAsia="en-US"/>
        </w:rPr>
        <w:t xml:space="preserve">№4 </w:t>
      </w:r>
      <w:r>
        <w:rPr>
          <w:rStyle w:val="CharStyle13"/>
        </w:rPr>
        <w:t xml:space="preserve">отклонена на основании пункта </w:t>
      </w:r>
      <w:r>
        <w:rPr>
          <w:rStyle w:val="CharStyle13"/>
          <w:lang w:val="en-US" w:eastAsia="en-US"/>
        </w:rPr>
        <w:t xml:space="preserve">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а именно в протоколе указано:</w:t>
      </w:r>
    </w:p>
    <w:p>
      <w:pPr>
        <w:pStyle w:val="Style12"/>
        <w:keepNext w:val="0"/>
        <w:keepLines w:val="0"/>
        <w:widowControl w:val="0"/>
        <w:shd w:val="clear" w:color="auto" w:fill="auto"/>
        <w:bidi w:val="0"/>
        <w:spacing w:before="0" w:after="0" w:line="240" w:lineRule="auto"/>
        <w:ind w:left="0" w:right="0" w:firstLine="780"/>
        <w:jc w:val="both"/>
      </w:pPr>
      <w:r>
        <w:rPr>
          <w:rStyle w:val="CharStyle13"/>
        </w:rPr>
        <w:t>«</w:t>
      </w:r>
      <w:r>
        <w:rPr>
          <w:rStyle w:val="CharStyle13"/>
          <w:i/>
          <w:iCs/>
        </w:rPr>
        <w:t xml:space="preserve">п.8 ч.12 ст.48 44-ФЗ </w:t>
      </w:r>
      <w:r>
        <w:rPr>
          <w:rStyle w:val="CharStyle13"/>
          <w:i/>
          <w:iCs/>
          <w:lang w:val="en-US" w:eastAsia="en-US"/>
        </w:rPr>
        <w:t xml:space="preserve">- </w:t>
      </w:r>
      <w:r>
        <w:rPr>
          <w:rStyle w:val="CharStyle13"/>
          <w:i/>
          <w:iCs/>
        </w:rPr>
        <w:t>выявление недостоверной информации, содержащейся в заявке на участие в закупке</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Причина несоответствия:</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Кабешев Д.В.: Выявление недостоверной информации, содержащейся в заявке на участие в закупке (Отклонение по п. </w:t>
      </w:r>
      <w:r>
        <w:rPr>
          <w:rStyle w:val="CharStyle13"/>
          <w:i/>
          <w:iCs/>
          <w:lang w:val="en-US" w:eastAsia="en-US"/>
        </w:rPr>
        <w:t xml:space="preserve">8 </w:t>
      </w:r>
      <w:r>
        <w:rPr>
          <w:rStyle w:val="CharStyle13"/>
          <w:i/>
          <w:iCs/>
        </w:rPr>
        <w:t xml:space="preserve">ч. </w:t>
      </w:r>
      <w:r>
        <w:rPr>
          <w:rStyle w:val="CharStyle13"/>
          <w:i/>
          <w:iCs/>
          <w:lang w:val="en-US" w:eastAsia="en-US"/>
        </w:rPr>
        <w:t xml:space="preserve">12 </w:t>
      </w:r>
      <w:r>
        <w:rPr>
          <w:rStyle w:val="CharStyle13"/>
          <w:i/>
          <w:iCs/>
        </w:rPr>
        <w:t xml:space="preserve">ст. </w:t>
      </w:r>
      <w:r>
        <w:rPr>
          <w:rStyle w:val="CharStyle13"/>
          <w:i/>
          <w:iCs/>
          <w:lang w:val="en-US" w:eastAsia="en-US"/>
        </w:rPr>
        <w:t xml:space="preserve">48 </w:t>
      </w:r>
      <w:r>
        <w:rPr>
          <w:rStyle w:val="CharStyle13"/>
          <w:i/>
          <w:iCs/>
        </w:rPr>
        <w:t xml:space="preserve">Закона </w:t>
      </w:r>
      <w:r>
        <w:rPr>
          <w:rStyle w:val="CharStyle13"/>
          <w:i/>
          <w:iCs/>
          <w:lang w:val="en-US" w:eastAsia="en-US"/>
        </w:rPr>
        <w:t xml:space="preserve">№ </w:t>
      </w:r>
      <w:r>
        <w:rPr>
          <w:rStyle w:val="CharStyle13"/>
          <w:i/>
          <w:iCs/>
        </w:rPr>
        <w:t>44-ФЗ) в заявке участника представлена недостоверная информация, а именно: представленный участником номер из реестра российской промышленной продукции не подтверждает страну происхождения товара "Набор демонстрационный по механическим явлениям". Закупаемый набор демонстрационный по механическим явлениям является самостоятельным товаром, в отношении которого имеется отдельная запись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Сумина С.Ю.: Выявлена недостоверная информация, содержащаяся в заявке на участие в закупке.</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Участником закупки в качестве товарного знака указано: «ЗАРНИЦА».</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В нарушение пункта </w:t>
      </w:r>
      <w:r>
        <w:rPr>
          <w:rStyle w:val="CharStyle13"/>
          <w:i/>
          <w:iCs/>
          <w:lang w:val="en-US" w:eastAsia="en-US"/>
        </w:rPr>
        <w:t xml:space="preserve">3.4 </w:t>
      </w:r>
      <w:r>
        <w:rPr>
          <w:rStyle w:val="CharStyle13"/>
          <w:i/>
          <w:iCs/>
        </w:rPr>
        <w:t xml:space="preserve">части </w:t>
      </w:r>
      <w:r>
        <w:rPr>
          <w:rStyle w:val="CharStyle13"/>
          <w:i/>
          <w:iCs/>
          <w:lang w:val="en-US" w:eastAsia="en-US"/>
        </w:rPr>
        <w:t xml:space="preserve">11 </w:t>
      </w:r>
      <w:r>
        <w:rPr>
          <w:rStyle w:val="CharStyle13"/>
          <w:i/>
          <w:iCs/>
        </w:rPr>
        <w:t xml:space="preserve">раздела </w:t>
      </w:r>
      <w:r>
        <w:rPr>
          <w:rStyle w:val="CharStyle13"/>
          <w:i/>
          <w:iCs/>
          <w:lang w:val="en-US" w:eastAsia="en-US"/>
        </w:rPr>
        <w:t xml:space="preserve">I </w:t>
      </w:r>
      <w:r>
        <w:rPr>
          <w:rStyle w:val="CharStyle13"/>
          <w:i/>
          <w:iCs/>
        </w:rPr>
        <w:t xml:space="preserve">извещения указанное словесное обозначение в соответствии с общедоступными данными </w:t>
      </w:r>
      <w:r>
        <w:fldChar w:fldCharType="begin"/>
      </w:r>
      <w:r>
        <w:rPr/>
        <w:instrText> HYPERLINK "https://searchplatform.rospatent.gov.ru/trademarks" </w:instrText>
      </w:r>
      <w:r>
        <w:fldChar w:fldCharType="separate"/>
      </w:r>
      <w:r>
        <w:rPr>
          <w:rStyle w:val="CharStyle13"/>
          <w:i/>
          <w:iCs/>
          <w:lang w:val="en-US" w:eastAsia="en-US"/>
        </w:rPr>
        <w:t>https://searchplatform.rospatent.gov.ru/trademarks</w:t>
      </w:r>
      <w:r>
        <w:fldChar w:fldCharType="end"/>
      </w:r>
      <w:r>
        <w:rPr>
          <w:rStyle w:val="CharStyle13"/>
          <w:i/>
          <w:iCs/>
          <w:lang w:val="en-US" w:eastAsia="en-US"/>
        </w:rPr>
        <w:t xml:space="preserve"> </w:t>
      </w:r>
      <w:r>
        <w:rPr>
          <w:rStyle w:val="CharStyle13"/>
          <w:i/>
          <w:iCs/>
        </w:rPr>
        <w:t>не является зарегистрированным товарным знаком.</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(Согласно инструкции по заполнению заявки, если в качестве товарного знака зарегистрировано изобразительное, объемное и другое обозначение или их комбинации участник закупки указывает номер заявки или номер регистрации.)</w:t>
      </w:r>
      <w:r>
        <w:rPr>
          <w:rStyle w:val="CharStyle13"/>
        </w:rPr>
        <w:t>».</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Заявителем была предоставлена реестровая запись </w:t>
      </w:r>
      <w:r>
        <w:rPr>
          <w:rStyle w:val="CharStyle13"/>
          <w:lang w:val="en-US" w:eastAsia="en-US"/>
        </w:rPr>
        <w:t xml:space="preserve">№10464954 </w:t>
      </w:r>
      <w:r>
        <w:rPr>
          <w:rStyle w:val="CharStyle13"/>
        </w:rPr>
        <w:t xml:space="preserve">на следующую продукцию: «Учебный комплект по изучению курса физики СШ2205», производитель </w:t>
      </w:r>
      <w:r>
        <w:rPr>
          <w:rStyle w:val="CharStyle13"/>
          <w:lang w:val="en-US" w:eastAsia="en-US"/>
        </w:rPr>
        <w:t xml:space="preserve">— </w:t>
      </w:r>
      <w:r>
        <w:rPr>
          <w:rStyle w:val="CharStyle13"/>
        </w:rPr>
        <w:t xml:space="preserve">ООО ПО ЗАРНИЦА, совокупное количество баллов </w:t>
      </w:r>
      <w:r>
        <w:rPr>
          <w:rStyle w:val="CharStyle13"/>
          <w:lang w:val="en-US" w:eastAsia="en-US"/>
        </w:rPr>
        <w:t>— 15.</w:t>
      </w:r>
    </w:p>
    <w:p>
      <w:pPr>
        <w:pStyle w:val="Style12"/>
        <w:keepNext w:val="0"/>
        <w:keepLines w:val="0"/>
        <w:widowControl w:val="0"/>
        <w:shd w:val="clear" w:color="auto" w:fill="auto"/>
        <w:bidi w:val="0"/>
        <w:spacing w:before="0" w:after="0" w:line="240" w:lineRule="auto"/>
        <w:ind w:left="0" w:right="0" w:firstLine="780"/>
        <w:jc w:val="both"/>
      </w:pPr>
      <w:r>
        <w:rPr>
          <w:rStyle w:val="CharStyle13"/>
        </w:rPr>
        <w:t>Описание продукции, размещённое в каталоге ГИСП: «Комплект предназначен для</w:t>
      </w:r>
    </w:p>
    <w:p>
      <w:pPr>
        <w:pStyle w:val="Style12"/>
        <w:keepNext w:val="0"/>
        <w:keepLines w:val="0"/>
        <w:widowControl w:val="0"/>
        <w:shd w:val="clear" w:color="auto" w:fill="auto"/>
        <w:bidi w:val="0"/>
        <w:spacing w:before="0" w:after="0" w:line="240" w:lineRule="auto"/>
        <w:ind w:left="0" w:right="0" w:firstLine="0"/>
        <w:jc w:val="both"/>
      </w:pPr>
      <w:r>
        <w:rPr>
          <w:rStyle w:val="CharStyle13"/>
        </w:rPr>
        <w:t>изучения общих физических законов природы, свойств и строения материи, законов ее движения и правил трансформации. Содержит учебные средства для обеспечения всех форм занятий по базовым разделам общетехнической дисциплины «Физика»: демонстрационное оборудование, лабораторные стенды, информационные материалы, интерактивные и виртуальные обучающие и тренажерные пособия, тренажерные модули с индикацией обучения и контроля. Может иметь любой состав и комплектацию.».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Заявка участника закупки Заявителя содержала документы и информацию, подтверждающую соответствие требованиям Постановления </w:t>
      </w:r>
      <w:r>
        <w:rPr>
          <w:rStyle w:val="CharStyle13"/>
          <w:lang w:val="en-US" w:eastAsia="en-US"/>
        </w:rPr>
        <w:t>№1875.</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Заявителем предложен к закупке соответствующий требованиям извещения товар с указанием номера реестровой записи из реестра промышленной продукции, произведенной на территории Российской Федерации и приложением выписки из реестра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 рассмотрении заявок действует презумпция добросовестности участника закупки, если иное, то есть недостоверность указанных участником в заявке сведений, не выявлена и не доказана лицом, сомневающимся в достоверности таких сведений. Для принятия решения о наличии в той или иной заявке недостоверных сведений Единая комиссия должна располагать неопровержимым документальным подтверждением данного обстоятельства на момент рассмотрения заявок. На стадии рассмотрения заявок комиссия не располагала сведениями, позволяющими признать заявку Заявителя недостоверной. Указанные в заявке сведения соответствовали предъявляемым требованиям закупки, поскольку номера реестровых записей из Реестра российской промышленной продукции/евразийской промышленной продукции, согласно Постановлению </w:t>
      </w:r>
      <w:r>
        <w:rPr>
          <w:rStyle w:val="CharStyle13"/>
          <w:lang w:val="en-US" w:eastAsia="en-US"/>
        </w:rPr>
        <w:t xml:space="preserve">№1875, </w:t>
      </w:r>
      <w:r>
        <w:rPr>
          <w:rStyle w:val="CharStyle13"/>
        </w:rPr>
        <w:t>подтверждают страну происхождения товара, а не характеристику товара, поскольку в отношении товаров, страной происхождения которых является Российская Федерация, номера реестровых записей из реестра российской промышленной продукции подлежат формальной проверке комиссией по осуществлению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Соответствие поставляемого товара заявленным в заявке победителя характеристикам проверяет заказчик на этапе исполнения контракта. Предоставляемая реестровая запись из реестра российской промышленной продукции необходима только для подтверждения страны происхождения товара, а документальное подтверждение характеристик товара должно быть в сопроводительных документах при приемке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Недостоверность тех или иных сведений заявки должна быть документально подтверждена и быть реальной для того, чтобы стать причиной отклонения заявки. Отклонение заявки на основании сомнений, не подкрепленных достоверными и допустимыми доказательствами, противоречит принципам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рассматриваемом случае Комиссией Нижегородского УФАС России не установлены основания для отклонения заявки Заявителя по основанию, что представленный участником номер из реестра российской промышленной продукции не подтверждает страну происхождения товара "Набор демонстрационный по механическим явлениям".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Поскольку решающим для принятия решения аукционной комиссии в рассматриваемом случае является голос председателя комиссии, то основанием для отклонения заявки Заявителя согласно протоколу является «Выявление недостоверной информации, содержащейся в заявке на участие в закупке (Отклонение по п. </w:t>
      </w:r>
      <w:r>
        <w:rPr>
          <w:rStyle w:val="CharStyle13"/>
          <w:lang w:val="en-US" w:eastAsia="en-US"/>
        </w:rPr>
        <w:t xml:space="preserve">8 </w:t>
      </w:r>
      <w:r>
        <w:rPr>
          <w:rStyle w:val="CharStyle13"/>
        </w:rPr>
        <w:t xml:space="preserve">ч. </w:t>
      </w:r>
      <w:r>
        <w:rPr>
          <w:rStyle w:val="CharStyle13"/>
          <w:lang w:val="en-US" w:eastAsia="en-US"/>
        </w:rPr>
        <w:t xml:space="preserve">12 </w:t>
      </w:r>
      <w:r>
        <w:rPr>
          <w:rStyle w:val="CharStyle13"/>
        </w:rPr>
        <w:t xml:space="preserve">ст. </w:t>
      </w:r>
      <w:r>
        <w:rPr>
          <w:rStyle w:val="CharStyle13"/>
          <w:lang w:val="en-US" w:eastAsia="en-US"/>
        </w:rPr>
        <w:t>48</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Закона </w:t>
      </w:r>
      <w:r>
        <w:rPr>
          <w:rStyle w:val="CharStyle13"/>
          <w:lang w:val="en-US" w:eastAsia="en-US"/>
        </w:rPr>
        <w:t xml:space="preserve">№ </w:t>
      </w:r>
      <w:r>
        <w:rPr>
          <w:rStyle w:val="CharStyle13"/>
        </w:rPr>
        <w:t>44-ФЗ) в заявке участника представлена недостоверная информация, а именно: представленный участником номер из реестра российской промышленной продукции не подтверждает страну происхождения товара "Набор демонстрационный по механическим явлениям". Закупаемый набор демонстрационный по механическим явлениям является самостоятельным товаром, в отношении которого имеется отдельная запись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Между тем, Комиссия Нижегородского УФАС России оценив сведения, содержащиеся в заявках участников пришла к выводу о том, что в случае принятия оснований для отклонения заявки Заявителя, указанных всеми членами аукционной комиссии, Заявитель поставлен в неравное положение, поскольку заявки иных участников </w:t>
      </w:r>
      <w:r>
        <w:rPr>
          <w:rStyle w:val="CharStyle13"/>
          <w:lang w:val="en-US" w:eastAsia="en-US"/>
        </w:rPr>
        <w:t xml:space="preserve">(№1 </w:t>
      </w:r>
      <w:r>
        <w:rPr>
          <w:rStyle w:val="CharStyle13"/>
        </w:rPr>
        <w:t xml:space="preserve">и </w:t>
      </w:r>
      <w:r>
        <w:rPr>
          <w:rStyle w:val="CharStyle13"/>
          <w:lang w:val="en-US" w:eastAsia="en-US"/>
        </w:rPr>
        <w:t xml:space="preserve">№2) </w:t>
      </w:r>
      <w:r>
        <w:rPr>
          <w:rStyle w:val="CharStyle13"/>
        </w:rPr>
        <w:t>также подлежат отклонению по основанию «</w:t>
      </w:r>
      <w:r>
        <w:rPr>
          <w:rStyle w:val="CharStyle13"/>
          <w:i/>
          <w:iCs/>
        </w:rPr>
        <w:t xml:space="preserve">В нарушение пункта </w:t>
      </w:r>
      <w:r>
        <w:rPr>
          <w:rStyle w:val="CharStyle13"/>
          <w:i/>
          <w:iCs/>
          <w:lang w:val="en-US" w:eastAsia="en-US"/>
        </w:rPr>
        <w:t xml:space="preserve">3.4 </w:t>
      </w:r>
      <w:r>
        <w:rPr>
          <w:rStyle w:val="CharStyle13"/>
          <w:i/>
          <w:iCs/>
        </w:rPr>
        <w:t xml:space="preserve">части </w:t>
      </w:r>
      <w:r>
        <w:rPr>
          <w:rStyle w:val="CharStyle13"/>
          <w:i/>
          <w:iCs/>
          <w:lang w:val="en-US" w:eastAsia="en-US"/>
        </w:rPr>
        <w:t xml:space="preserve">11 </w:t>
      </w:r>
      <w:r>
        <w:rPr>
          <w:rStyle w:val="CharStyle13"/>
          <w:i/>
          <w:iCs/>
        </w:rPr>
        <w:t xml:space="preserve">раздела </w:t>
      </w:r>
      <w:r>
        <w:rPr>
          <w:rStyle w:val="CharStyle13"/>
          <w:i/>
          <w:iCs/>
          <w:lang w:val="en-US" w:eastAsia="en-US"/>
        </w:rPr>
        <w:t xml:space="preserve">I </w:t>
      </w:r>
      <w:r>
        <w:rPr>
          <w:rStyle w:val="CharStyle13"/>
          <w:i/>
          <w:iCs/>
        </w:rPr>
        <w:t xml:space="preserve">извещения указанное словесное обозначение в соответствии с общедоступными данными </w:t>
      </w:r>
      <w:r>
        <w:fldChar w:fldCharType="begin"/>
      </w:r>
      <w:r>
        <w:rPr/>
        <w:instrText> HYPERLINK "https://searchplatform.rospatent.gov.ru/trademarks" </w:instrText>
      </w:r>
      <w:r>
        <w:fldChar w:fldCharType="separate"/>
      </w:r>
      <w:r>
        <w:rPr>
          <w:rStyle w:val="CharStyle13"/>
          <w:i/>
          <w:iCs/>
          <w:lang w:val="en-US" w:eastAsia="en-US"/>
        </w:rPr>
        <w:t>https://searchplatform.rospatent.gov.ru/trademarks</w:t>
      </w:r>
      <w:r>
        <w:fldChar w:fldCharType="end"/>
      </w:r>
      <w:r>
        <w:rPr>
          <w:rStyle w:val="CharStyle13"/>
          <w:i/>
          <w:iCs/>
          <w:lang w:val="en-US" w:eastAsia="en-US"/>
        </w:rPr>
        <w:t xml:space="preserve"> </w:t>
      </w:r>
      <w:r>
        <w:rPr>
          <w:rStyle w:val="CharStyle13"/>
          <w:i/>
          <w:iCs/>
        </w:rPr>
        <w:t>не является зарегистрированным товарным знаком.</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(Согласно инструкции по заполнению заявки, если в качестве товарного знака зарегистрировано изобразительное, объемное и другое обозначение или их комбинации участник закупки указывает номер заявки или номер регистрации.)»</w:t>
      </w:r>
      <w:r>
        <w:rPr>
          <w:rStyle w:val="CharStyle13"/>
        </w:rPr>
        <w:t xml:space="preserve">, поскольку участниками </w:t>
      </w:r>
      <w:r>
        <w:rPr>
          <w:rStyle w:val="CharStyle13"/>
          <w:lang w:val="en-US" w:eastAsia="en-US"/>
        </w:rPr>
        <w:t xml:space="preserve">№ 1, 2, 4 </w:t>
      </w:r>
      <w:r>
        <w:rPr>
          <w:rStyle w:val="CharStyle13"/>
        </w:rPr>
        <w:t>в составе заявки в поле «товарный знак» указано словесное обозначение, при том, что указанные товарные знаки («Научные развлечения», «Зарница») являются комбинированными.</w:t>
      </w:r>
    </w:p>
    <w:p>
      <w:pPr>
        <w:pStyle w:val="Style12"/>
        <w:keepNext w:val="0"/>
        <w:keepLines w:val="0"/>
        <w:widowControl w:val="0"/>
        <w:shd w:val="clear" w:color="auto" w:fill="auto"/>
        <w:bidi w:val="0"/>
        <w:spacing w:before="0" w:after="0" w:line="240" w:lineRule="auto"/>
        <w:ind w:left="0" w:right="0" w:firstLine="780"/>
        <w:jc w:val="both"/>
      </w:pPr>
      <w:r>
        <w:rPr>
          <w:rStyle w:val="CharStyle13"/>
        </w:rPr>
        <w:t>На основании изложенного, жалоба заявителя признается Комиссией Нижегородского УФАС России обоснованной.</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Изложенное свидетельствует о нарушении заказчиком 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80"/>
        <w:jc w:val="both"/>
      </w:pPr>
      <w:r>
        <w:rPr>
          <w:rStyle w:val="CharStyle13"/>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повторного проведения процедуры определения поставщика (подрядчика, исполнителя), Комиссия Нижегородского УФАС России приходит к выводу о необходимости и целесообразности выдачи соответствующего предписания.</w:t>
      </w:r>
    </w:p>
    <w:p>
      <w:pPr>
        <w:pStyle w:val="Style12"/>
        <w:keepNext w:val="0"/>
        <w:keepLines w:val="0"/>
        <w:widowControl w:val="0"/>
        <w:shd w:val="clear" w:color="auto" w:fill="auto"/>
        <w:bidi w:val="0"/>
        <w:spacing w:before="0" w:after="260" w:line="240" w:lineRule="auto"/>
        <w:ind w:left="0" w:right="0" w:firstLine="78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numPr>
          <w:ilvl w:val="0"/>
          <w:numId w:val="9"/>
        </w:numPr>
        <w:shd w:val="clear" w:color="auto" w:fill="auto"/>
        <w:tabs>
          <w:tab w:pos="1157" w:val="left"/>
        </w:tabs>
        <w:bidi w:val="0"/>
        <w:spacing w:before="0" w:after="280" w:line="240" w:lineRule="auto"/>
        <w:ind w:left="0" w:right="0" w:firstLine="780"/>
        <w:jc w:val="both"/>
      </w:pPr>
      <w:r>
        <w:rPr>
          <w:rStyle w:val="CharStyle13"/>
        </w:rPr>
        <w:t>Признать жалобу индивидуального предпринимателя Барышевой Марины Викторовны о нарушении Государственным бюджетным образовательным учреждением дополнительного профессионального образования «Нижегородский институт развития образования»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«"Шифр: 52-2026-нр55590 Поставка набора демонстрационного по механическим явлениям на оснащение предметных кабинетов общеобразовательных организаций оборудованием, средствами обучения и</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воспитания в целях достижения результатов федерального проекта "Все лучшее детям", регионального проекта "Все лучшее детям", государственной программы РФ "Развитие образования", национального проекта «Молодежь и дети» в </w:t>
      </w:r>
      <w:r>
        <w:rPr>
          <w:rStyle w:val="CharStyle13"/>
          <w:lang w:val="en-US" w:eastAsia="en-US"/>
        </w:rPr>
        <w:t xml:space="preserve">2026 </w:t>
      </w:r>
      <w:r>
        <w:rPr>
          <w:rStyle w:val="CharStyle13"/>
        </w:rPr>
        <w:t xml:space="preserve">году"», номер извещения </w:t>
      </w:r>
      <w:r>
        <w:rPr>
          <w:rStyle w:val="CharStyle13"/>
          <w:lang w:val="en-US" w:eastAsia="en-US"/>
        </w:rPr>
        <w:t xml:space="preserve">0832200006626000283, </w:t>
      </w:r>
      <w:r>
        <w:rPr>
          <w:rStyle w:val="CharStyle13"/>
        </w:rPr>
        <w:t>обоснованной.</w:t>
      </w:r>
    </w:p>
    <w:p>
      <w:pPr>
        <w:pStyle w:val="Style12"/>
        <w:keepNext w:val="0"/>
        <w:keepLines w:val="0"/>
        <w:widowControl w:val="0"/>
        <w:numPr>
          <w:ilvl w:val="0"/>
          <w:numId w:val="9"/>
        </w:numPr>
        <w:shd w:val="clear" w:color="auto" w:fill="auto"/>
        <w:tabs>
          <w:tab w:pos="1157" w:val="left"/>
        </w:tabs>
        <w:bidi w:val="0"/>
        <w:spacing w:before="0" w:after="0" w:line="240" w:lineRule="auto"/>
        <w:ind w:left="0" w:right="0" w:firstLine="760"/>
        <w:jc w:val="both"/>
      </w:pPr>
      <w:r>
        <w:rPr>
          <w:rStyle w:val="CharStyle13"/>
        </w:rPr>
        <w:t xml:space="preserve">Признать Государственное бюджетное образовательное учреждение дополнительного профессионального образования «Нижегородский институт развития образования» нарушившим часть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9"/>
        </w:numPr>
        <w:shd w:val="clear" w:color="auto" w:fill="auto"/>
        <w:tabs>
          <w:tab w:pos="1157" w:val="left"/>
        </w:tabs>
        <w:bidi w:val="0"/>
        <w:spacing w:before="0" w:after="0" w:line="240" w:lineRule="auto"/>
        <w:ind w:left="0" w:right="0" w:firstLine="760"/>
        <w:jc w:val="both"/>
      </w:pPr>
      <w:r>
        <w:rPr>
          <w:rStyle w:val="CharStyle13"/>
        </w:rPr>
        <w:t>Выдать Заказчику, комиссии по осуществлению закупок и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numPr>
          <w:ilvl w:val="0"/>
          <w:numId w:val="9"/>
        </w:numPr>
        <w:shd w:val="clear" w:color="auto" w:fill="auto"/>
        <w:tabs>
          <w:tab w:pos="1157" w:val="left"/>
        </w:tabs>
        <w:bidi w:val="0"/>
        <w:spacing w:before="0" w:after="26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58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660" w:line="240" w:lineRule="auto"/>
        <w:ind w:left="0" w:right="0" w:firstLine="0"/>
        <w:jc w:val="left"/>
      </w:pPr>
      <w:r>
        <mc:AlternateContent>
          <mc:Choice Requires="wps">
            <w:drawing>
              <wp:anchor distT="0" distB="640080" distL="114300" distR="120650" simplePos="0" relativeHeight="125829383" behindDoc="0" locked="0" layoutInCell="1" allowOverlap="1">
                <wp:simplePos x="0" y="0"/>
                <wp:positionH relativeFrom="page">
                  <wp:posOffset>5919470</wp:posOffset>
                </wp:positionH>
                <wp:positionV relativeFrom="paragraph">
                  <wp:posOffset>12700</wp:posOffset>
                </wp:positionV>
                <wp:extent cx="953770" cy="231775"/>
                <wp:wrapSquare wrapText="left"/>
                <wp:docPr id="15" name="Shape 15"/>
                <a:graphic xmlns:a="http://schemas.openxmlformats.org/drawingml/2006/main">
                  <a:graphicData uri="http://schemas.microsoft.com/office/word/2010/wordprocessingShape">
                    <wps:wsp>
                      <wps:cNvSpPr txBox="1"/>
                      <wps:spPr>
                        <a:xfrm>
                          <a:ext cx="953770"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41" type="#_x0000_t202" style="position:absolute;margin-left:466.10000000000002pt;margin-top:1.pt;width:75.100000000000009pt;height:18.25pt;z-index:-125829370;mso-wrap-distance-left:9.pt;mso-wrap-distance-right:9.5pt;mso-wrap-distance-bottom:50.3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square" side="left" anchorx="page"/>
              </v:shape>
            </w:pict>
          </mc:Fallback>
        </mc:AlternateContent>
      </w:r>
      <w:r>
        <mc:AlternateContent>
          <mc:Choice Requires="wps">
            <w:drawing>
              <wp:anchor distT="636905" distB="0" distL="117475" distR="114300" simplePos="0" relativeHeight="125829385" behindDoc="0" locked="0" layoutInCell="1" allowOverlap="1">
                <wp:simplePos x="0" y="0"/>
                <wp:positionH relativeFrom="page">
                  <wp:posOffset>5922645</wp:posOffset>
                </wp:positionH>
                <wp:positionV relativeFrom="paragraph">
                  <wp:posOffset>649605</wp:posOffset>
                </wp:positionV>
                <wp:extent cx="956945" cy="234950"/>
                <wp:wrapSquare wrapText="left"/>
                <wp:docPr id="17" name="Shape 17"/>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wps:txbx>
                      <wps:bodyPr wrap="none" lIns="0" tIns="0" rIns="0" bIns="0">
                        <a:noAutoFit/>
                      </wps:bodyPr>
                    </wps:wsp>
                  </a:graphicData>
                </a:graphic>
              </wp:anchor>
            </w:drawing>
          </mc:Choice>
          <mc:Fallback>
            <w:pict>
              <v:shape id="_x0000_s1043" type="#_x0000_t202" style="position:absolute;margin-left:466.35000000000002pt;margin-top:51.149999999999999pt;width:75.350000000000009pt;height:18.5pt;z-index:-125829368;mso-wrap-distance-left:9.25pt;mso-wrap-distance-top:50.14999999999999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Е.С. Железов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66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660" w:line="240" w:lineRule="auto"/>
        <w:ind w:left="0" w:right="340" w:firstLine="0"/>
        <w:jc w:val="right"/>
      </w:pPr>
      <w:r>
        <w:rPr>
          <w:rStyle w:val="CharStyle13"/>
        </w:rPr>
        <w:t>Ю.К. Лебедева</w:t>
      </w:r>
    </w:p>
    <w:p>
      <w:pPr>
        <w:pStyle w:val="Style21"/>
        <w:keepNext w:val="0"/>
        <w:keepLines w:val="0"/>
        <w:widowControl w:val="0"/>
        <w:shd w:val="clear" w:color="auto" w:fill="auto"/>
        <w:bidi w:val="0"/>
        <w:spacing w:before="0" w:after="0" w:line="240" w:lineRule="auto"/>
        <w:ind w:left="0" w:right="0" w:firstLine="0"/>
        <w:jc w:val="left"/>
      </w:pPr>
      <w:r>
        <w:rPr>
          <w:rStyle w:val="CharStyle22"/>
        </w:rPr>
        <w:t>тел.8(831)431-73-95, вн.052-301</w:t>
      </w:r>
    </w:p>
    <w:sectPr>
      <w:footnotePr>
        <w:pos w:val="pageBottom"/>
        <w:numFmt w:val="decimal"/>
        <w:numRestart w:val="continuous"/>
      </w:footnotePr>
      <w:type w:val="continuous"/>
      <w:pgSz w:w="11900" w:h="16840"/>
      <w:pgMar w:top="1430" w:right="533" w:bottom="1380" w:left="108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777875</wp:posOffset>
              </wp:positionH>
              <wp:positionV relativeFrom="page">
                <wp:posOffset>10183495</wp:posOffset>
              </wp:positionV>
              <wp:extent cx="722630" cy="125095"/>
              <wp:wrapNone/>
              <wp:docPr id="5" name="Shape 5"/>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2026-11865</w:t>
                          </w:r>
                        </w:p>
                      </w:txbxContent>
                    </wps:txbx>
                    <wps:bodyPr wrap="none" lIns="0" tIns="0" rIns="0" bIns="0">
                      <a:spAutoFit/>
                    </wps:bodyPr>
                  </wps:wsp>
                </a:graphicData>
              </a:graphic>
            </wp:anchor>
          </w:drawing>
        </mc:Choice>
        <mc:Fallback>
          <w:pict>
            <v:shape id="_x0000_s1031" type="#_x0000_t202" style="position:absolute;margin-left:61.25pt;margin-top:801.85000000000002pt;width:56.899999999999999pt;height:9.84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2026-11865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10034270</wp:posOffset>
              </wp:positionV>
              <wp:extent cx="722630" cy="125095"/>
              <wp:wrapNone/>
              <wp:docPr id="7" name="Shape 7"/>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2026-11865</w:t>
                          </w:r>
                        </w:p>
                      </w:txbxContent>
                    </wps:txbx>
                    <wps:bodyPr wrap="none" lIns="0" tIns="0" rIns="0" bIns="0">
                      <a:spAutoFit/>
                    </wps:bodyPr>
                  </wps:wsp>
                </a:graphicData>
              </a:graphic>
            </wp:anchor>
          </w:drawing>
        </mc:Choice>
        <mc:Fallback>
          <w:pict>
            <v:shape id="_x0000_s1033" type="#_x0000_t202" style="position:absolute;margin-left:69.950000000000003pt;margin-top:790.10000000000002pt;width:56.899999999999999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2026-11865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3923030</wp:posOffset>
              </wp:positionH>
              <wp:positionV relativeFrom="page">
                <wp:posOffset>737870</wp:posOffset>
              </wp:positionV>
              <wp:extent cx="54610" cy="73025"/>
              <wp:wrapNone/>
              <wp:docPr id="3" name="Shape 3"/>
              <a:graphic xmlns:a="http://schemas.openxmlformats.org/drawingml/2006/main">
                <a:graphicData uri="http://schemas.microsoft.com/office/word/2010/wordprocessingShape">
                  <wps:wsp>
                    <wps:cNvSpPr txBox="1"/>
                    <wps:spPr>
                      <a:xfrm>
                        <a:ext cx="5461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0000000000003pt;margin-top:58.100000000000001pt;width:4.2999999999999998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Table caption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Body text (3)_"/>
    <w:basedOn w:val="DefaultParagraphFont"/>
    <w:link w:val="Style21"/>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Table caption"/>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Body text (3)"/>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