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1775460</wp:posOffset>
            </wp:positionH>
            <wp:positionV relativeFrom="paragraph">
              <wp:posOffset>12700</wp:posOffset>
            </wp:positionV>
            <wp:extent cx="536575" cy="61595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125829379" behindDoc="0" locked="0" layoutInCell="1" allowOverlap="1">
                <wp:simplePos x="0" y="0"/>
                <wp:positionH relativeFrom="page">
                  <wp:posOffset>922020</wp:posOffset>
                </wp:positionH>
                <wp:positionV relativeFrom="paragraph">
                  <wp:posOffset>716280</wp:posOffset>
                </wp:positionV>
                <wp:extent cx="2249170" cy="82931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9170" cy="8293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Мурманской области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2.600000000000009pt;margin-top:56.399999999999999pt;width:177.09999999999999pt;height:65.299999999999997pt;z-index:-12582937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Мурманской области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left"/>
      </w:pPr>
      <w:r>
        <w:rPr>
          <w:rStyle w:val="CharStyle8"/>
        </w:rPr>
        <w:t>Государственное областное бюджетное учреждение здравоохранения «Мурманская областная клиническая больница имени П.А. Баяндина»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79" w:right="834" w:bottom="1313" w:left="4995" w:header="0" w:footer="3" w:gutter="0"/>
          <w:pgNumType w:start="1"/>
          <w:cols w:space="720"/>
          <w:noEndnote/>
          <w:rtlGutter w:val="0"/>
          <w:docGrid w:linePitch="360"/>
        </w:sectPr>
      </w:pPr>
      <w:r>
        <w:fldChar w:fldCharType="begin"/>
      </w:r>
      <w:r>
        <w:rPr/>
        <w:instrText> HYPERLINK "mailto:mokb_kk@bk.ru" </w:instrText>
      </w:r>
      <w:r>
        <w:fldChar w:fldCharType="separate"/>
      </w:r>
      <w:r>
        <w:rPr>
          <w:rStyle w:val="CharStyle8"/>
          <w:lang w:val="en-US" w:eastAsia="en-US"/>
        </w:rPr>
        <w:t>mokb_kk@bk.ru</w:t>
      </w:r>
      <w:r>
        <w:fldChar w:fldCharType="end"/>
      </w:r>
      <w:r>
        <w:rPr>
          <w:rStyle w:val="CharStyle8"/>
          <w:lang w:val="en-US" w:eastAsia="en-US"/>
        </w:rPr>
        <w:t xml:space="preserve"> </w:t>
      </w:r>
      <w:r>
        <w:fldChar w:fldCharType="begin"/>
      </w:r>
      <w:r>
        <w:rPr/>
        <w:instrText> HYPERLINK "mailto:kontrkandalcrb@yandex.ru" </w:instrText>
      </w:r>
      <w:r>
        <w:fldChar w:fldCharType="separate"/>
      </w:r>
      <w:r>
        <w:rPr>
          <w:rStyle w:val="CharStyle8"/>
          <w:lang w:val="en-US" w:eastAsia="en-US"/>
        </w:rPr>
        <w:t>kontrkandalcrb@yandex.ru</w:t>
      </w:r>
      <w:r>
        <w:fldChar w:fldCharType="end"/>
      </w:r>
    </w:p>
    <w:p>
      <w:pPr>
        <w:widowControl w:val="0"/>
        <w:spacing w:line="94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0" w:bottom="131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</w:pPr>
      <w:r>
        <w:rPr>
          <w:rStyle w:val="CharStyle3"/>
        </w:rPr>
        <w:t>ул. Академика Книповича, 9а, г. Мурманск, 183038</w:t>
        <w:br/>
        <w:t>тел. (8152) 68-50-43, факс (8152) 68-50-43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"mailto:to51@fas.gov.ru" </w:instrText>
      </w:r>
      <w:r>
        <w:fldChar w:fldCharType="separate"/>
      </w:r>
      <w:r>
        <w:rPr>
          <w:rStyle w:val="CharStyle3"/>
          <w:lang w:val="en-US" w:eastAsia="en-US"/>
        </w:rPr>
        <w:t>to51@fas.gov.ru</w:t>
      </w:r>
      <w:r>
        <w:fldChar w:fldCharType="end"/>
      </w:r>
    </w:p>
    <w:p>
      <w:pPr>
        <w:pStyle w:val="Style12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3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3"/>
        </w:rPr>
        <w:t>9.05.2026</w:t>
        <w:tab/>
      </w:r>
      <w:r>
        <w:fldChar w:fldCharType="end"/>
      </w:r>
      <w:r>
        <w:rPr>
          <w:rStyle w:val="CharStyle13"/>
        </w:rPr>
        <w:t>№ МГ/2274/26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6"/>
          <w:sz w:val="18"/>
          <w:szCs w:val="18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8"/>
        </w:rPr>
        <w:t xml:space="preserve">Комитет по конкурентной политике Мурманской области </w:t>
      </w:r>
      <w:r>
        <w:fldChar w:fldCharType="begin"/>
      </w:r>
      <w:r>
        <w:rPr/>
        <w:instrText> HYPERLINK "mailto:goszakaz@gov-murman.ru" </w:instrText>
      </w:r>
      <w:r>
        <w:fldChar w:fldCharType="separate"/>
      </w:r>
      <w:r>
        <w:rPr>
          <w:rStyle w:val="CharStyle8"/>
          <w:lang w:val="en-US" w:eastAsia="en-US"/>
        </w:rPr>
        <w:t>goszakaz@gov-murman.ru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1774" w:bottom="1313" w:left="1135" w:header="0" w:footer="3" w:gutter="0"/>
          <w:cols w:num="2" w:space="730"/>
          <w:noEndnote/>
          <w:rtlGutter w:val="0"/>
          <w:docGrid w:linePitch="360"/>
        </w:sectPr>
      </w:pPr>
      <w:r>
        <w:rPr>
          <w:rStyle w:val="CharStyle8"/>
        </w:rPr>
        <w:t xml:space="preserve">Индивидуальный предприниматель Рогозин Сергей Александрович </w:t>
      </w:r>
      <w:r>
        <w:fldChar w:fldCharType="begin"/>
      </w:r>
      <w:r>
        <w:rPr/>
        <w:instrText> HYPERLINK "mailto:rogozin-ip@mail.ru" </w:instrText>
      </w:r>
      <w:r>
        <w:fldChar w:fldCharType="separate"/>
      </w:r>
      <w:r>
        <w:rPr>
          <w:rStyle w:val="CharStyle8"/>
          <w:lang w:val="en-US" w:eastAsia="en-US"/>
        </w:rPr>
        <w:t>rogozin-ip@mail.ru</w:t>
      </w:r>
      <w:r>
        <w:fldChar w:fldCharType="end"/>
      </w:r>
    </w:p>
    <w:p>
      <w:pPr>
        <w:widowControl w:val="0"/>
        <w:spacing w:line="67" w:lineRule="exact"/>
        <w:rPr>
          <w:sz w:val="5"/>
          <w:szCs w:val="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0" w:bottom="131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8"/>
          <w:b/>
          <w:bCs/>
        </w:rPr>
        <w:t>РЕШЕНИЕ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center"/>
      </w:pPr>
      <w:r>
        <w:rPr>
          <w:rStyle w:val="CharStyle8"/>
          <w:b/>
          <w:bCs/>
        </w:rPr>
        <w:t>по делу № 051/06/105-417/2026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Резолютивная часть решения оглашена «14» мая 2026 года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8559" w:val="left"/>
        </w:tabs>
        <w:bidi w:val="0"/>
        <w:spacing w:before="0" w:after="260" w:line="240" w:lineRule="auto"/>
        <w:ind w:left="0" w:right="0" w:firstLine="740"/>
        <w:jc w:val="both"/>
      </w:pPr>
      <w:r>
        <w:rPr>
          <w:rStyle w:val="CharStyle8"/>
        </w:rPr>
        <w:t>В полном объеме изготовлено «19» мая 2026 года</w:t>
        <w:tab/>
        <w:t>г. Мурманск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Комиссия по контролю в сфере закупок товаров, работ, услуг для обеспечения государственных и муниципальных нужд (далее — Комиссия Мурманского УФАС России) в составе: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Председатель Комиссии: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Прохорова М.Е. – заместитель руководителя Управления Федеральной антимонопольной службы по Мурманской области,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Члены Комиссии: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Чоповская Н.И. – главный специалист-эксперт отдела контроля торгов Управления Федеральной антимонопольной службы по Мурманской области,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Конох А.А. – ведущий специалист-эксперт отдела контроля торгов Управления Федеральной антимонопольной службы по Мурманской области;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при участии представителей (по доверенности)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Комитета по конкурентной политике Мурманской области – Гусевой К.Е.;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Индивидуального предпринимателя Рогозина Сергея Александровича – Деминой Д.И.,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без участия представителей государственное областное бюджетное учреждение здравоохранения «Мурманская областная клиническая больница имени П.А. Баяндина» надлежаще уведомленного,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740"/>
        <w:jc w:val="both"/>
      </w:pPr>
      <w:r>
        <w:rPr>
          <w:rStyle w:val="CharStyle8"/>
        </w:rPr>
        <w:t>рассмотрев жалобу индивидуального предпринимателя Рогозина Сергея Александровича (далее – ИП Рогозин, Заявитель) на действия Комитета по конкурентной политике Мурманской области и Заказчика - Государственного областного бюджетного учреждения здравоохранения «Мурманская областная клиническая больница имени П.А. Баяндина» при проведении закупки: «Поставка медицинского изделия (Система анестезиологическая, общего назначения), ввод в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834" w:bottom="1313" w:left="1107" w:header="0" w:footer="3" w:gutter="0"/>
          <w:cols w:space="720"/>
          <w:noEndnote/>
          <w:rtlGutter w:val="0"/>
          <w:docGrid w:linePitch="360"/>
        </w:sectPr>
      </w:pPr>
      <w:r>
        <w:drawing>
          <wp:anchor distT="76200" distB="0" distL="0" distR="0" simplePos="0" relativeHeight="125829381" behindDoc="0" locked="0" layoutInCell="1" allowOverlap="1">
            <wp:simplePos x="0" y="0"/>
            <wp:positionH relativeFrom="page">
              <wp:posOffset>718185</wp:posOffset>
            </wp:positionH>
            <wp:positionV relativeFrom="paragraph">
              <wp:posOffset>76200</wp:posOffset>
            </wp:positionV>
            <wp:extent cx="1517650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8"/>
        </w:rPr>
        <w:t xml:space="preserve">эксплуатацию медицинских изделий,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 для нужд филиала ГОБУЗ «МОКБ им. П.А.Баяндина» </w:t>
      </w:r>
      <w:r>
        <w:rPr>
          <w:rStyle w:val="CharStyle8"/>
          <w:lang w:val="en-US" w:eastAsia="en-US"/>
        </w:rPr>
        <w:t xml:space="preserve">- </w:t>
      </w:r>
      <w:r>
        <w:rPr>
          <w:rStyle w:val="CharStyle8"/>
        </w:rPr>
        <w:t xml:space="preserve">ЦРБ ЗАТО г. Североморск» (реестровый номер извещения </w:t>
      </w:r>
      <w:r>
        <w:rPr>
          <w:rStyle w:val="CharStyle8"/>
          <w:lang w:val="en-US" w:eastAsia="en-US"/>
        </w:rPr>
        <w:t xml:space="preserve">0149200002326002037), </w:t>
      </w:r>
      <w:r>
        <w:rPr>
          <w:rStyle w:val="CharStyle8"/>
        </w:rPr>
        <w:t xml:space="preserve">в соответствии со статьёй </w:t>
      </w:r>
      <w:r>
        <w:rPr>
          <w:rStyle w:val="CharStyle8"/>
          <w:lang w:val="en-US" w:eastAsia="en-US"/>
        </w:rPr>
        <w:t xml:space="preserve">106 </w:t>
      </w:r>
      <w:r>
        <w:rPr>
          <w:rStyle w:val="CharStyle8"/>
        </w:rPr>
        <w:t xml:space="preserve">Федерального закона от </w:t>
      </w:r>
      <w:r>
        <w:rPr>
          <w:rStyle w:val="CharStyle8"/>
          <w:lang w:val="en-US" w:eastAsia="en-US"/>
        </w:rPr>
        <w:t xml:space="preserve">05.04.2013 № </w:t>
      </w:r>
      <w:r>
        <w:rPr>
          <w:rStyle w:val="CharStyle8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8"/>
          <w:lang w:val="en-US" w:eastAsia="en-US"/>
        </w:rPr>
        <w:t xml:space="preserve">- </w:t>
      </w:r>
      <w:r>
        <w:rPr>
          <w:rStyle w:val="CharStyle8"/>
        </w:rPr>
        <w:t>Закон о контрактной системе),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8"/>
        </w:rPr>
        <w:t>УСТАНОВИЛА: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  <w:lang w:val="en-US" w:eastAsia="en-US"/>
        </w:rPr>
        <w:t xml:space="preserve">22.04.2026 </w:t>
      </w:r>
      <w:r>
        <w:rPr>
          <w:rStyle w:val="CharStyle8"/>
        </w:rPr>
        <w:t xml:space="preserve">в Единой информационной системе в сфере закупок </w:t>
      </w:r>
      <w:r>
        <w:rPr>
          <w:rStyle w:val="CharStyle8"/>
          <w:lang w:val="en-US" w:eastAsia="en-US"/>
        </w:rPr>
        <w:t xml:space="preserve">–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8"/>
          <w:lang w:val="en-US" w:eastAsia="en-US"/>
        </w:rPr>
        <w:t>www.zakupki.gov.ru</w:t>
      </w:r>
      <w:r>
        <w:fldChar w:fldCharType="end"/>
      </w:r>
      <w:r>
        <w:rPr>
          <w:rStyle w:val="CharStyle8"/>
          <w:lang w:val="en-US" w:eastAsia="en-US"/>
        </w:rPr>
        <w:t xml:space="preserve"> </w:t>
      </w:r>
      <w:r>
        <w:rPr>
          <w:rStyle w:val="CharStyle8"/>
        </w:rPr>
        <w:t xml:space="preserve">(далее </w:t>
      </w:r>
      <w:r>
        <w:rPr>
          <w:rStyle w:val="CharStyle8"/>
          <w:lang w:val="en-US" w:eastAsia="en-US"/>
        </w:rPr>
        <w:t xml:space="preserve">- </w:t>
      </w:r>
      <w:r>
        <w:rPr>
          <w:rStyle w:val="CharStyle8"/>
        </w:rPr>
        <w:t>ЕИС) размещено извещение о проведении открытого аукциона в электронной форме на поставку медицинского изделия (Система анестезиологическая, общего назначения), ввод в эксплуатацию медицинских изделий,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Уполномоченный орган: Комитет по конкурентной политике Мурманской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Заказчик: Филиал Государственного областного бюджетного учреждения здравоохранения «Мурманская областная клиническая больница имени П.А. Баяндина» </w:t>
      </w:r>
      <w:r>
        <w:rPr>
          <w:rStyle w:val="CharStyle8"/>
          <w:lang w:val="en-US" w:eastAsia="en-US"/>
        </w:rPr>
        <w:t xml:space="preserve">- </w:t>
      </w:r>
      <w:r>
        <w:rPr>
          <w:rStyle w:val="CharStyle8"/>
        </w:rPr>
        <w:t>Центральная районная больница ЗАТО г. Североморск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Начальная (максимальная) цена контракта: </w:t>
      </w:r>
      <w:r>
        <w:rPr>
          <w:rStyle w:val="CharStyle8"/>
          <w:lang w:val="en-US" w:eastAsia="en-US"/>
        </w:rPr>
        <w:t xml:space="preserve">4 650 298,00 </w:t>
      </w:r>
      <w:r>
        <w:rPr>
          <w:rStyle w:val="CharStyle8"/>
        </w:rPr>
        <w:t>руб</w:t>
      </w:r>
      <w:r>
        <w:rPr>
          <w:rStyle w:val="CharStyle8"/>
          <w:lang w:val="en-US" w:eastAsia="en-US"/>
        </w:rPr>
        <w:t>..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Дата начала срока подачи заявок: </w:t>
      </w:r>
      <w:r>
        <w:rPr>
          <w:rStyle w:val="CharStyle8"/>
          <w:lang w:val="en-US" w:eastAsia="en-US"/>
        </w:rPr>
        <w:t>22.04.2026.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Дата и время окончания срока подачи заявок: </w:t>
      </w:r>
      <w:r>
        <w:rPr>
          <w:rStyle w:val="CharStyle8"/>
          <w:lang w:val="en-US" w:eastAsia="en-US"/>
        </w:rPr>
        <w:t>30.04.2026 07:00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Дата подведения итогов определения поставщика (подрядчика, исполнителя): </w:t>
      </w:r>
      <w:r>
        <w:rPr>
          <w:rStyle w:val="CharStyle8"/>
          <w:lang w:val="en-US" w:eastAsia="en-US"/>
        </w:rPr>
        <w:t>05.05.2026.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 xml:space="preserve">Согласно протоколу подведения итогов Аукциона от </w:t>
      </w:r>
      <w:r>
        <w:rPr>
          <w:rStyle w:val="CharStyle17"/>
          <w:lang w:val="en-US" w:eastAsia="en-US"/>
        </w:rPr>
        <w:t xml:space="preserve">05.05.2026 № 2154/26 </w:t>
      </w:r>
      <w:r>
        <w:rPr>
          <w:rStyle w:val="CharStyle17"/>
        </w:rPr>
        <w:t>на участие в закупке подано две заявки, по итогам рассмотрения которых приняты следующие решения:</w:t>
      </w:r>
    </w:p>
    <w:tbl>
      <w:tblPr>
        <w:tblOverlap w:val="never"/>
        <w:jc w:val="center"/>
        <w:tblLayout w:type="fixed"/>
      </w:tblPr>
      <w:tblGrid>
        <w:gridCol w:w="2194"/>
        <w:gridCol w:w="3538"/>
        <w:gridCol w:w="1819"/>
        <w:gridCol w:w="2251"/>
      </w:tblGrid>
      <w:tr>
        <w:trPr>
          <w:trHeight w:val="153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b/>
                <w:bCs/>
                <w:sz w:val="22"/>
                <w:szCs w:val="22"/>
              </w:rPr>
              <w:t>Идентификационн ый номер заявки, присвоенный оператором электронной площадки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b/>
                <w:bCs/>
                <w:sz w:val="22"/>
                <w:szCs w:val="22"/>
              </w:rPr>
              <w:t>Решение по заявке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b/>
                <w:bCs/>
                <w:sz w:val="22"/>
                <w:szCs w:val="22"/>
              </w:rPr>
              <w:t>Ценовое предложение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b/>
                <w:bCs/>
                <w:sz w:val="22"/>
                <w:szCs w:val="22"/>
              </w:rPr>
              <w:t>Порядковый номер заявки по результатам рассмотрения</w:t>
            </w:r>
          </w:p>
        </w:tc>
      </w:tr>
      <w:tr>
        <w:trPr>
          <w:trHeight w:val="76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sz w:val="22"/>
                <w:szCs w:val="22"/>
                <w:lang w:val="en-US" w:eastAsia="en-US"/>
              </w:rPr>
              <w:t>121105619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b/>
                <w:bCs/>
                <w:i/>
                <w:iCs/>
                <w:sz w:val="22"/>
                <w:szCs w:val="22"/>
              </w:rPr>
              <w:t>(ИП Рогозин А.С.)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sz w:val="22"/>
                <w:szCs w:val="22"/>
              </w:rPr>
              <w:t>Отклонена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i/>
                <w:iCs/>
                <w:sz w:val="22"/>
                <w:szCs w:val="22"/>
              </w:rPr>
              <w:t>(выявлена недостоверная информация в составе заявки)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sz w:val="22"/>
                <w:szCs w:val="22"/>
                <w:lang w:val="en-US" w:eastAsia="en-US"/>
              </w:rPr>
              <w:t xml:space="preserve">4 255 022,67 </w:t>
            </w:r>
            <w:r>
              <w:rPr>
                <w:rStyle w:val="CharStyle19"/>
                <w:i/>
                <w:iCs/>
                <w:sz w:val="22"/>
                <w:szCs w:val="22"/>
              </w:rPr>
              <w:t xml:space="preserve">(понижение на </w:t>
            </w:r>
            <w:r>
              <w:rPr>
                <w:rStyle w:val="CharStyle19"/>
                <w:i/>
                <w:iCs/>
                <w:sz w:val="22"/>
                <w:szCs w:val="22"/>
                <w:lang w:val="en-US" w:eastAsia="en-US"/>
              </w:rPr>
              <w:t>8,50%)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sz w:val="22"/>
                <w:szCs w:val="22"/>
                <w:lang w:val="en-US" w:eastAsia="en-US"/>
              </w:rPr>
              <w:t>-</w:t>
            </w:r>
          </w:p>
        </w:tc>
      </w:tr>
      <w:tr>
        <w:trPr>
          <w:trHeight w:val="77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sz w:val="22"/>
                <w:szCs w:val="22"/>
                <w:lang w:val="en-US" w:eastAsia="en-US"/>
              </w:rPr>
              <w:t>121097580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sz w:val="22"/>
                <w:szCs w:val="22"/>
              </w:rPr>
              <w:t>Соответствует требованиям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sz w:val="22"/>
                <w:szCs w:val="22"/>
                <w:lang w:val="en-US" w:eastAsia="en-US"/>
              </w:rPr>
              <w:t xml:space="preserve">4 278 274,16 </w:t>
            </w:r>
            <w:r>
              <w:rPr>
                <w:rStyle w:val="CharStyle19"/>
                <w:i/>
                <w:iCs/>
                <w:sz w:val="22"/>
                <w:szCs w:val="22"/>
              </w:rPr>
              <w:t xml:space="preserve">(понижение на </w:t>
            </w:r>
            <w:r>
              <w:rPr>
                <w:rStyle w:val="CharStyle19"/>
                <w:i/>
                <w:iCs/>
                <w:sz w:val="22"/>
                <w:szCs w:val="22"/>
                <w:lang w:val="en-US" w:eastAsia="en-US"/>
              </w:rPr>
              <w:t>8,00%)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sz w:val="22"/>
                <w:szCs w:val="22"/>
                <w:lang w:val="en-US" w:eastAsia="en-US"/>
              </w:rPr>
              <w:t>1</w:t>
            </w:r>
          </w:p>
        </w:tc>
      </w:tr>
    </w:tbl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 xml:space="preserve">Аукцион признан несостоявшимся на основании пункта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52 </w:t>
      </w:r>
      <w:r>
        <w:rPr>
          <w:rStyle w:val="CharStyle17"/>
        </w:rPr>
        <w:t>Закона о контрактной системе так как по окончании срока подачи заявок на участие в Аукционе только одна заявка соответствует требованиям, установленным в Извещении.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66" w:lineRule="auto"/>
        <w:ind w:left="0" w:right="0" w:firstLine="720"/>
        <w:jc w:val="both"/>
        <w:rPr>
          <w:sz w:val="24"/>
          <w:szCs w:val="24"/>
        </w:rPr>
        <w:sectPr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110" w:right="829" w:bottom="536" w:left="1107" w:header="682" w:footer="108" w:gutter="0"/>
          <w:cols w:space="720"/>
          <w:noEndnote/>
          <w:rtlGutter w:val="0"/>
          <w:docGrid w:linePitch="360"/>
        </w:sectPr>
      </w:pPr>
      <w:r>
        <w:rPr>
          <w:rStyle w:val="CharStyle8"/>
        </w:rPr>
        <w:t xml:space="preserve">Не согласившись с результатами подведения итогов ИП Рогозин направил жалобу, в которой указывает на неправомерные действия Комиссии по осуществлению закупок в связи с неправомерным признанием его заявки несоответствующей требованиям Извещения и Закона о контрактной системе по причине выявления </w:t>
      </w:r>
      <w:r>
        <w:rPr>
          <w:rStyle w:val="CharStyle8"/>
          <w:sz w:val="24"/>
          <w:szCs w:val="24"/>
          <w:lang w:val="en-US" w:eastAsia="en-US"/>
        </w:rPr>
        <w:t>2026-2612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недостоверной информации относительно соответствия предлагаемого Участником закупки медицинского изделия следующим характеристикам: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расход газовой смеси (кислород), максимальное значение, л/мин </w:t>
      </w:r>
      <w:r>
        <w:rPr>
          <w:rStyle w:val="CharStyle8"/>
          <w:lang w:val="en-US" w:eastAsia="en-US"/>
        </w:rPr>
        <w:t>- ≥ 15;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емкость многоразовой канистры абсорбента углекислого газа </w:t>
      </w:r>
      <w:r>
        <w:rPr>
          <w:rStyle w:val="CharStyle8"/>
          <w:lang w:val="en-US" w:eastAsia="en-US"/>
        </w:rPr>
        <w:t xml:space="preserve">- ≤ 1500, </w:t>
      </w:r>
      <w:r>
        <w:rPr>
          <w:rStyle w:val="CharStyle8"/>
        </w:rPr>
        <w:t>кубический сантиметр; миллилитр;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максимальная нагрузка на верхнюю полку </w:t>
      </w:r>
      <w:r>
        <w:rPr>
          <w:rStyle w:val="CharStyle8"/>
          <w:lang w:val="en-US" w:eastAsia="en-US"/>
        </w:rPr>
        <w:t xml:space="preserve">- ≥ 30, </w:t>
      </w:r>
      <w:r>
        <w:rPr>
          <w:rStyle w:val="CharStyle8"/>
        </w:rPr>
        <w:t>килограмм;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2" w:val="left"/>
        </w:tabs>
        <w:bidi w:val="0"/>
        <w:spacing w:before="0" w:after="260" w:line="240" w:lineRule="auto"/>
        <w:ind w:left="0" w:right="0" w:firstLine="720"/>
        <w:jc w:val="both"/>
      </w:pPr>
      <w:r>
        <w:rPr>
          <w:rStyle w:val="CharStyle8"/>
        </w:rPr>
        <w:t xml:space="preserve">дополнительный ротаметр подачи О2, максимальное значение, л/мин </w:t>
      </w:r>
      <w:r>
        <w:rPr>
          <w:rStyle w:val="CharStyle8"/>
          <w:lang w:val="en-US" w:eastAsia="en-US"/>
        </w:rPr>
        <w:t>- ≥ 10.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По мнению ИП Рогозина А.С., предложенное им в составе заявки медицинское изделие соответствует установленным в Извещении характеристикам.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Жалоба ИП Рогозина рассмотрена </w:t>
      </w:r>
      <w:r>
        <w:rPr>
          <w:rStyle w:val="CharStyle8"/>
          <w:lang w:val="en-US" w:eastAsia="en-US"/>
        </w:rPr>
        <w:t xml:space="preserve">14 </w:t>
      </w:r>
      <w:r>
        <w:rPr>
          <w:rStyle w:val="CharStyle8"/>
        </w:rPr>
        <w:t xml:space="preserve">мая </w:t>
      </w:r>
      <w:r>
        <w:rPr>
          <w:rStyle w:val="CharStyle8"/>
          <w:lang w:val="en-US" w:eastAsia="en-US"/>
        </w:rPr>
        <w:t xml:space="preserve">2026 </w:t>
      </w:r>
      <w:r>
        <w:rPr>
          <w:rStyle w:val="CharStyle8"/>
        </w:rPr>
        <w:t xml:space="preserve">года в </w:t>
      </w:r>
      <w:r>
        <w:rPr>
          <w:rStyle w:val="CharStyle8"/>
          <w:lang w:val="en-US" w:eastAsia="en-US"/>
        </w:rPr>
        <w:t xml:space="preserve">14 </w:t>
      </w:r>
      <w:r>
        <w:rPr>
          <w:rStyle w:val="CharStyle8"/>
        </w:rPr>
        <w:t xml:space="preserve">часов </w:t>
      </w:r>
      <w:r>
        <w:rPr>
          <w:rStyle w:val="CharStyle8"/>
          <w:lang w:val="en-US" w:eastAsia="en-US"/>
        </w:rPr>
        <w:t xml:space="preserve">30 </w:t>
      </w:r>
      <w:r>
        <w:rPr>
          <w:rStyle w:val="CharStyle8"/>
        </w:rPr>
        <w:t>минут посредством сервиса веб-видеоконференцсвязи.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Комиссия Мурманского </w:t>
      </w:r>
      <w:r>
        <w:rPr>
          <w:rStyle w:val="CharStyle8"/>
          <w:lang w:val="en-US" w:eastAsia="en-US"/>
        </w:rPr>
        <w:t xml:space="preserve">УФАC </w:t>
      </w:r>
      <w:r>
        <w:rPr>
          <w:rStyle w:val="CharStyle8"/>
        </w:rPr>
        <w:t>России, изучив представленные документы и материалы, заслушав пояснения Заказчика, пришла к следующим выводам.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Рассматриваемые торги проведены в порядке, предусмотренном Федеральным законом от </w:t>
      </w:r>
      <w:r>
        <w:rPr>
          <w:rStyle w:val="CharStyle8"/>
          <w:lang w:val="en-US" w:eastAsia="en-US"/>
        </w:rPr>
        <w:t xml:space="preserve">05.04.2013 № </w:t>
      </w:r>
      <w:r>
        <w:rPr>
          <w:rStyle w:val="CharStyle8"/>
        </w:rPr>
        <w:t>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В соответствии с пунктом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части </w:t>
      </w:r>
      <w:r>
        <w:rPr>
          <w:rStyle w:val="CharStyle8"/>
          <w:lang w:val="en-US" w:eastAsia="en-US"/>
        </w:rPr>
        <w:t xml:space="preserve">2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42 </w:t>
      </w:r>
      <w:r>
        <w:rPr>
          <w:rStyle w:val="CharStyle8"/>
        </w:rPr>
        <w:t xml:space="preserve">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 описание объекта закупки в соответствии со статьей </w:t>
      </w:r>
      <w:r>
        <w:rPr>
          <w:rStyle w:val="CharStyle8"/>
          <w:lang w:val="en-US" w:eastAsia="en-US"/>
        </w:rPr>
        <w:t xml:space="preserve">33 </w:t>
      </w:r>
      <w:r>
        <w:rPr>
          <w:rStyle w:val="CharStyle8"/>
        </w:rPr>
        <w:t>Закона о контрактной системе.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Частью </w:t>
      </w:r>
      <w:r>
        <w:rPr>
          <w:rStyle w:val="CharStyle8"/>
          <w:lang w:val="en-US" w:eastAsia="en-US"/>
        </w:rPr>
        <w:t xml:space="preserve">2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33 </w:t>
      </w:r>
      <w:r>
        <w:rPr>
          <w:rStyle w:val="CharStyle8"/>
        </w:rPr>
        <w:t xml:space="preserve">Закона о контрактной системе установлено, что описание объекта закупки в соответствии с требованиями, указанными в части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>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Электронным документом «Описание объекта закупки», являющимся неотъемлемой частью Извещения (далее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 xml:space="preserve">Описание объекта закупки), Заказчиком установлены требования к техническим, функциональным, качественным характеристикам и эксплуатационным характеристикам (потребительским свойствам) товара в соответствии с подпунктом </w:t>
      </w:r>
      <w:r>
        <w:rPr>
          <w:rStyle w:val="CharStyle8"/>
          <w:lang w:val="en-US" w:eastAsia="en-US"/>
        </w:rPr>
        <w:t xml:space="preserve">2 </w:t>
      </w:r>
      <w:r>
        <w:rPr>
          <w:rStyle w:val="CharStyle8"/>
        </w:rPr>
        <w:t xml:space="preserve">части </w:t>
      </w:r>
      <w:r>
        <w:rPr>
          <w:rStyle w:val="CharStyle8"/>
          <w:lang w:val="en-US" w:eastAsia="en-US"/>
        </w:rPr>
        <w:t xml:space="preserve">1, </w:t>
      </w:r>
      <w:r>
        <w:rPr>
          <w:rStyle w:val="CharStyle8"/>
        </w:rPr>
        <w:t xml:space="preserve">частью </w:t>
      </w:r>
      <w:r>
        <w:rPr>
          <w:rStyle w:val="CharStyle8"/>
          <w:lang w:val="en-US" w:eastAsia="en-US"/>
        </w:rPr>
        <w:t xml:space="preserve">2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33 </w:t>
      </w:r>
      <w:r>
        <w:rPr>
          <w:rStyle w:val="CharStyle8"/>
        </w:rPr>
        <w:t>Закона о контрактной системе.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Заказчиком использован код ОКПД2 </w:t>
      </w:r>
      <w:r>
        <w:rPr>
          <w:rStyle w:val="CharStyle8"/>
          <w:lang w:val="en-US" w:eastAsia="en-US"/>
        </w:rPr>
        <w:t xml:space="preserve">32.50.21.122 </w:t>
      </w:r>
      <w:r>
        <w:rPr>
          <w:rStyle w:val="CharStyle8"/>
        </w:rPr>
        <w:t>«Аппараты дыхательные реанимационные».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 xml:space="preserve">Разделом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>Описания объекта закупки Заказчиком установлены требования к закупаемому медицинскому изделию, в частности:</w:t>
      </w:r>
    </w:p>
    <w:tbl>
      <w:tblPr>
        <w:tblOverlap w:val="never"/>
        <w:jc w:val="center"/>
        <w:tblLayout w:type="fixed"/>
      </w:tblPr>
      <w:tblGrid>
        <w:gridCol w:w="538"/>
        <w:gridCol w:w="2606"/>
        <w:gridCol w:w="1968"/>
        <w:gridCol w:w="2222"/>
        <w:gridCol w:w="2592"/>
      </w:tblGrid>
      <w:tr>
        <w:trPr>
          <w:trHeight w:val="51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b/>
                <w:bCs/>
                <w:sz w:val="22"/>
                <w:szCs w:val="22"/>
                <w:lang w:val="en-US" w:eastAsia="en-US"/>
              </w:rPr>
              <w:t xml:space="preserve">№ </w:t>
            </w:r>
            <w:r>
              <w:rPr>
                <w:rStyle w:val="CharStyle19"/>
                <w:b/>
                <w:bCs/>
                <w:sz w:val="22"/>
                <w:szCs w:val="22"/>
              </w:rPr>
              <w:t>п/п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b/>
                <w:bCs/>
                <w:sz w:val="22"/>
                <w:szCs w:val="22"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b/>
                <w:bCs/>
                <w:sz w:val="22"/>
                <w:szCs w:val="22"/>
              </w:rPr>
              <w:t>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b/>
                <w:bCs/>
                <w:sz w:val="22"/>
                <w:szCs w:val="22"/>
              </w:rPr>
              <w:t>Единица измерения характеристики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b/>
                <w:bCs/>
                <w:sz w:val="22"/>
                <w:szCs w:val="22"/>
              </w:rPr>
              <w:t>Инструкция по заполнению</w:t>
            </w:r>
          </w:p>
        </w:tc>
      </w:tr>
      <w:tr>
        <w:trPr>
          <w:trHeight w:val="10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22"/>
                <w:szCs w:val="22"/>
              </w:rPr>
            </w:pPr>
            <w:r>
              <w:rPr>
                <w:rStyle w:val="CharStyle19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sz w:val="22"/>
                <w:szCs w:val="22"/>
              </w:rPr>
              <w:t>Расход газовой смеси (кислород), максимальное значение, л/мин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sz w:val="22"/>
                <w:szCs w:val="22"/>
                <w:lang w:val="en-US" w:eastAsia="en-US"/>
              </w:rPr>
              <w:t>≥ 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sz w:val="22"/>
                <w:szCs w:val="22"/>
                <w:lang w:val="en-US" w:eastAsia="en-US"/>
              </w:rPr>
              <w:t>-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</w:tr>
      <w:tr>
        <w:trPr>
          <w:trHeight w:val="102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22"/>
                <w:szCs w:val="22"/>
              </w:rPr>
            </w:pPr>
            <w:r>
              <w:rPr>
                <w:rStyle w:val="CharStyle19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sz w:val="22"/>
                <w:szCs w:val="22"/>
              </w:rPr>
              <w:t>Емкость многоразовой канистры абсорбента углекислого газа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sz w:val="22"/>
                <w:szCs w:val="22"/>
                <w:lang w:val="en-US" w:eastAsia="en-US"/>
              </w:rPr>
              <w:t>≤ 1500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sz w:val="22"/>
                <w:szCs w:val="22"/>
              </w:rPr>
              <w:t>Кубический сантиметр; миллилитр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</w:tr>
      <w:tr>
        <w:trPr>
          <w:trHeight w:val="77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22"/>
                <w:szCs w:val="22"/>
              </w:rPr>
            </w:pPr>
            <w:r>
              <w:rPr>
                <w:rStyle w:val="CharStyle19"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sz w:val="22"/>
                <w:szCs w:val="22"/>
              </w:rPr>
              <w:t>Максимальная нагрузка на верхнюю полку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sz w:val="22"/>
                <w:szCs w:val="22"/>
                <w:lang w:val="en-US" w:eastAsia="en-US"/>
              </w:rPr>
              <w:t>≥ 30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sz w:val="22"/>
                <w:szCs w:val="22"/>
              </w:rPr>
              <w:t>Килограмм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sz w:val="22"/>
                <w:szCs w:val="22"/>
              </w:rPr>
              <w:t>Участник закупки указывает в заявке конкретное значение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38"/>
        <w:gridCol w:w="2606"/>
        <w:gridCol w:w="1968"/>
        <w:gridCol w:w="2222"/>
        <w:gridCol w:w="2592"/>
      </w:tblGrid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sz w:val="22"/>
                <w:szCs w:val="22"/>
              </w:rPr>
              <w:t>характеристики</w:t>
            </w:r>
          </w:p>
        </w:tc>
      </w:tr>
      <w:tr>
        <w:trPr>
          <w:trHeight w:val="103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19"/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sz w:val="22"/>
                <w:szCs w:val="22"/>
              </w:rPr>
              <w:t>Дополнительный ротаметр подачи О2, максимальное значение, л/мин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sz w:val="22"/>
                <w:szCs w:val="22"/>
                <w:lang w:val="en-US" w:eastAsia="en-US"/>
              </w:rPr>
              <w:t>≥ 10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sz w:val="22"/>
                <w:szCs w:val="22"/>
                <w:lang w:val="en-US" w:eastAsia="en-US"/>
              </w:rPr>
              <w:t>-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</w:tr>
    </w:tbl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В соответствии с подпунктом «а» пункта </w:t>
      </w:r>
      <w:r>
        <w:rPr>
          <w:rStyle w:val="CharStyle8"/>
          <w:lang w:val="en-US" w:eastAsia="en-US"/>
        </w:rPr>
        <w:t xml:space="preserve">2 </w:t>
      </w:r>
      <w:r>
        <w:rPr>
          <w:rStyle w:val="CharStyle8"/>
        </w:rPr>
        <w:t xml:space="preserve">части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43 </w:t>
      </w:r>
      <w:r>
        <w:rPr>
          <w:rStyle w:val="CharStyle8"/>
        </w:rPr>
        <w:t xml:space="preserve">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 с учетом положений части </w:t>
      </w:r>
      <w:r>
        <w:rPr>
          <w:rStyle w:val="CharStyle8"/>
          <w:lang w:val="en-US" w:eastAsia="en-US"/>
        </w:rPr>
        <w:t xml:space="preserve">2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43 </w:t>
      </w:r>
      <w:r>
        <w:rPr>
          <w:rStyle w:val="CharStyle8"/>
        </w:rPr>
        <w:t xml:space="preserve">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</w:t>
      </w:r>
      <w:r>
        <w:rPr>
          <w:rStyle w:val="CharStyle8"/>
          <w:lang w:val="en-US" w:eastAsia="en-US"/>
        </w:rPr>
        <w:t xml:space="preserve">2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33 </w:t>
      </w:r>
      <w:r>
        <w:rPr>
          <w:rStyle w:val="CharStyle8"/>
        </w:rPr>
        <w:t>Закона о контрактной системе.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Аналогичные требования установлены в электронном документе «Требования к содержанию и составу заявки на участие в аукционе» (далее </w:t>
      </w:r>
      <w:r>
        <w:rPr>
          <w:rStyle w:val="CharStyle8"/>
          <w:lang w:val="en-US" w:eastAsia="en-US"/>
        </w:rPr>
        <w:t xml:space="preserve">- </w:t>
      </w:r>
      <w:r>
        <w:rPr>
          <w:rStyle w:val="CharStyle8"/>
        </w:rPr>
        <w:t>Требования).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Согласно пункту </w:t>
      </w:r>
      <w:r>
        <w:rPr>
          <w:rStyle w:val="CharStyle8"/>
          <w:lang w:val="en-US" w:eastAsia="en-US"/>
        </w:rPr>
        <w:t xml:space="preserve">2.5 </w:t>
      </w:r>
      <w:r>
        <w:rPr>
          <w:rStyle w:val="CharStyle8"/>
        </w:rPr>
        <w:t xml:space="preserve">Требований в составе заявок участников закупки должны быть представлены документы, подтверждающие соответствие товара, работы или услуги требованиям, установленным в соответствии с законодательством Российской Федерации, а именно: информация о реестровой записи, вносимой регистрирующим органом в государственный реестр медицинских изделий и организаций (индивидуальных предпринимателей), осуществляющих производство и изготовление медицинских изделий (пункт </w:t>
      </w:r>
      <w:r>
        <w:rPr>
          <w:rStyle w:val="CharStyle8"/>
          <w:lang w:val="en-US" w:eastAsia="en-US"/>
        </w:rPr>
        <w:t xml:space="preserve">25 </w:t>
      </w:r>
      <w:r>
        <w:rPr>
          <w:rStyle w:val="CharStyle8"/>
        </w:rPr>
        <w:t xml:space="preserve">Правил, утв. ПП РФ от </w:t>
      </w:r>
      <w:r>
        <w:rPr>
          <w:rStyle w:val="CharStyle8"/>
          <w:lang w:val="en-US" w:eastAsia="en-US"/>
        </w:rPr>
        <w:t xml:space="preserve">30.11.2024 № 1684) </w:t>
      </w:r>
      <w:r>
        <w:rPr>
          <w:rStyle w:val="CharStyle8"/>
        </w:rPr>
        <w:t xml:space="preserve">ИЛИ копия регистрационного удостоверения на медицинское изделие (до внесения изменений в сведения, содержащиеся в реестровой записи государственного реестра медицинских изделий и организаций (индивидуальных предпринимателей), осуществляющих производство и изготовление медицинских изделий (пункт </w:t>
      </w:r>
      <w:r>
        <w:rPr>
          <w:rStyle w:val="CharStyle8"/>
          <w:lang w:val="en-US" w:eastAsia="en-US"/>
        </w:rPr>
        <w:t xml:space="preserve">2 </w:t>
      </w:r>
      <w:r>
        <w:rPr>
          <w:rStyle w:val="CharStyle8"/>
        </w:rPr>
        <w:t xml:space="preserve">ПП РФ от </w:t>
      </w:r>
      <w:r>
        <w:rPr>
          <w:rStyle w:val="CharStyle8"/>
          <w:lang w:val="en-US" w:eastAsia="en-US"/>
        </w:rPr>
        <w:t xml:space="preserve">30.11.2024 № 1684)) </w:t>
      </w:r>
      <w:r>
        <w:rPr>
          <w:rStyle w:val="CharStyle8"/>
        </w:rPr>
        <w:t xml:space="preserve">ИЛИ выписка из государственного реестра медицинских изделий и организаций (индивидуальных предпринимателей), осуществляющих производство и изготовление медицинских изделий (пункты </w:t>
      </w:r>
      <w:r>
        <w:rPr>
          <w:rStyle w:val="CharStyle8"/>
          <w:lang w:val="en-US" w:eastAsia="en-US"/>
        </w:rPr>
        <w:t xml:space="preserve">14, 16 </w:t>
      </w:r>
      <w:r>
        <w:rPr>
          <w:rStyle w:val="CharStyle8"/>
        </w:rPr>
        <w:t xml:space="preserve">Правил, утв. ПП РФ от </w:t>
      </w:r>
      <w:r>
        <w:rPr>
          <w:rStyle w:val="CharStyle8"/>
          <w:lang w:val="en-US" w:eastAsia="en-US"/>
        </w:rPr>
        <w:t>30.09.2021 № 1650).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В соответствии с пунктом </w:t>
      </w:r>
      <w:r>
        <w:rPr>
          <w:rStyle w:val="CharStyle8"/>
          <w:lang w:val="en-US" w:eastAsia="en-US"/>
        </w:rPr>
        <w:t xml:space="preserve">8 </w:t>
      </w:r>
      <w:r>
        <w:rPr>
          <w:rStyle w:val="CharStyle8"/>
        </w:rPr>
        <w:t xml:space="preserve">части </w:t>
      </w:r>
      <w:r>
        <w:rPr>
          <w:rStyle w:val="CharStyle8"/>
          <w:lang w:val="en-US" w:eastAsia="en-US"/>
        </w:rPr>
        <w:t xml:space="preserve">12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48 </w:t>
      </w:r>
      <w:r>
        <w:rPr>
          <w:rStyle w:val="CharStyle8"/>
        </w:rPr>
        <w:t>Закона о контрактной системе при рассмотрении вторых частей заявок на участие в закупке соответствующая заявка подлежит отклонению в случае выявления недостоверной информации, содержащейся в заявке на участие в закупке.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Согласно протоколу подведения итогов от </w:t>
      </w:r>
      <w:r>
        <w:rPr>
          <w:rStyle w:val="CharStyle8"/>
          <w:lang w:val="en-US" w:eastAsia="en-US"/>
        </w:rPr>
        <w:t xml:space="preserve">04.05.2026 </w:t>
      </w:r>
      <w:r>
        <w:rPr>
          <w:rStyle w:val="CharStyle8"/>
        </w:rPr>
        <w:t xml:space="preserve">Комиссией по осуществлению закупок в отношении заявки с идентификационным номером </w:t>
      </w:r>
      <w:r>
        <w:rPr>
          <w:rStyle w:val="CharStyle8"/>
          <w:lang w:val="en-US" w:eastAsia="en-US"/>
        </w:rPr>
        <w:t xml:space="preserve">121105619 – </w:t>
      </w:r>
      <w:r>
        <w:rPr>
          <w:rStyle w:val="CharStyle8"/>
        </w:rPr>
        <w:t>ИП Рогозин, принято решение об отклонении в связи с выявлением недостоверной информации, содержащейся в заявке на участие в закупке.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 xml:space="preserve">Комиссия Мурманского УФАС России проанализировала заявку ИП Рогозина </w:t>
      </w:r>
      <w:r>
        <w:rPr>
          <w:rStyle w:val="CharStyle17"/>
          <w:lang w:val="en-US" w:eastAsia="en-US"/>
        </w:rPr>
        <w:t xml:space="preserve">(№ 121105619) </w:t>
      </w:r>
      <w:r>
        <w:rPr>
          <w:rStyle w:val="CharStyle17"/>
        </w:rPr>
        <w:t>и установила, что участником закупки в отношении спорных характеристик указано:</w:t>
      </w:r>
    </w:p>
    <w:tbl>
      <w:tblPr>
        <w:tblOverlap w:val="never"/>
        <w:jc w:val="center"/>
        <w:tblLayout w:type="fixed"/>
      </w:tblPr>
      <w:tblGrid>
        <w:gridCol w:w="538"/>
        <w:gridCol w:w="3226"/>
        <w:gridCol w:w="2256"/>
        <w:gridCol w:w="3907"/>
      </w:tblGrid>
      <w:tr>
        <w:trPr>
          <w:trHeight w:val="77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b/>
                <w:bCs/>
                <w:sz w:val="22"/>
                <w:szCs w:val="22"/>
                <w:lang w:val="en-US" w:eastAsia="en-US"/>
              </w:rPr>
              <w:t xml:space="preserve">№ </w:t>
            </w:r>
            <w:r>
              <w:rPr>
                <w:rStyle w:val="CharStyle19"/>
                <w:b/>
                <w:bCs/>
                <w:sz w:val="22"/>
                <w:szCs w:val="22"/>
              </w:rPr>
              <w:t>п/п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b/>
                <w:bCs/>
                <w:sz w:val="22"/>
                <w:szCs w:val="22"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b/>
                <w:bCs/>
                <w:sz w:val="22"/>
                <w:szCs w:val="22"/>
              </w:rPr>
              <w:t>Значение характеристики в извещении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b/>
                <w:bCs/>
                <w:sz w:val="22"/>
                <w:szCs w:val="22"/>
              </w:rPr>
              <w:t xml:space="preserve">Значение в заявке ИП Рогозина С.А. (заявка </w:t>
            </w:r>
            <w:r>
              <w:rPr>
                <w:rStyle w:val="CharStyle19"/>
                <w:b/>
                <w:bCs/>
                <w:sz w:val="22"/>
                <w:szCs w:val="22"/>
                <w:lang w:val="en-US" w:eastAsia="en-US"/>
              </w:rPr>
              <w:t>№ 121105619)</w:t>
            </w:r>
          </w:p>
        </w:tc>
      </w:tr>
      <w:tr>
        <w:trPr>
          <w:trHeight w:val="77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19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sz w:val="22"/>
                <w:szCs w:val="22"/>
              </w:rPr>
              <w:t>Расход газовой смеси (кислород), максимальное значение, л/мин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sz w:val="22"/>
                <w:szCs w:val="22"/>
                <w:lang w:val="en-US" w:eastAsia="en-US"/>
              </w:rPr>
              <w:t>≥ 15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sz w:val="22"/>
                <w:szCs w:val="22"/>
                <w:lang w:val="en-US" w:eastAsia="en-US"/>
              </w:rPr>
              <w:t>15,00</w:t>
            </w:r>
          </w:p>
        </w:tc>
      </w:tr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19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sz w:val="22"/>
                <w:szCs w:val="22"/>
              </w:rPr>
              <w:t>Емкость многоразовой канистры абсорбента углекислого газа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sz w:val="22"/>
                <w:szCs w:val="22"/>
                <w:lang w:val="en-US" w:eastAsia="en-US"/>
              </w:rPr>
              <w:t>≤ 1500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sz w:val="22"/>
                <w:szCs w:val="22"/>
                <w:lang w:val="en-US" w:eastAsia="en-US"/>
              </w:rPr>
              <w:t xml:space="preserve">1500,00 </w:t>
            </w:r>
            <w:r>
              <w:rPr>
                <w:rStyle w:val="CharStyle19"/>
                <w:sz w:val="22"/>
                <w:szCs w:val="22"/>
              </w:rPr>
              <w:t>Кубический сантиметр; миллилитр</w:t>
            </w:r>
          </w:p>
        </w:tc>
      </w:tr>
      <w:tr>
        <w:trPr>
          <w:trHeight w:val="51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19"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sz w:val="22"/>
                <w:szCs w:val="22"/>
              </w:rPr>
              <w:t>Максимальная нагрузка на верхнюю полку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sz w:val="22"/>
                <w:szCs w:val="22"/>
                <w:lang w:val="en-US" w:eastAsia="en-US"/>
              </w:rPr>
              <w:t>≥ 30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sz w:val="22"/>
                <w:szCs w:val="22"/>
                <w:lang w:val="en-US" w:eastAsia="en-US"/>
              </w:rPr>
              <w:t xml:space="preserve">30,00 </w:t>
            </w:r>
            <w:r>
              <w:rPr>
                <w:rStyle w:val="CharStyle19"/>
                <w:sz w:val="22"/>
                <w:szCs w:val="22"/>
              </w:rPr>
              <w:t>Килограмм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38"/>
        <w:gridCol w:w="3226"/>
        <w:gridCol w:w="2256"/>
        <w:gridCol w:w="3907"/>
      </w:tblGrid>
      <w:tr>
        <w:trPr>
          <w:trHeight w:val="78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sz w:val="22"/>
                <w:szCs w:val="22"/>
              </w:rPr>
              <w:t>Дополнительный ротаметр подачи О2, максимальное значение, л/мин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sz w:val="22"/>
                <w:szCs w:val="22"/>
                <w:lang w:val="en-US" w:eastAsia="en-US"/>
              </w:rPr>
              <w:t>≥ 10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9"/>
                <w:sz w:val="22"/>
                <w:szCs w:val="22"/>
                <w:lang w:val="en-US" w:eastAsia="en-US"/>
              </w:rPr>
              <w:t>10,00</w:t>
            </w:r>
          </w:p>
        </w:tc>
      </w:tr>
    </w:tbl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>Таким образом, в заявке Участника закупки содержится предложение, соответствующие требованиям, установленным в Описании объекта закупки.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Так же в составе заявки ИП Рогозина С.А. приложена копия регистрационного удостоверения </w:t>
      </w:r>
      <w:r>
        <w:rPr>
          <w:rStyle w:val="CharStyle8"/>
          <w:lang w:val="en-US" w:eastAsia="en-US"/>
        </w:rPr>
        <w:t xml:space="preserve">№ </w:t>
      </w:r>
      <w:r>
        <w:rPr>
          <w:rStyle w:val="CharStyle8"/>
        </w:rPr>
        <w:t xml:space="preserve">РЗН </w:t>
      </w:r>
      <w:r>
        <w:rPr>
          <w:rStyle w:val="CharStyle8"/>
          <w:lang w:val="en-US" w:eastAsia="en-US"/>
        </w:rPr>
        <w:t xml:space="preserve">2024/22356 </w:t>
      </w:r>
      <w:r>
        <w:rPr>
          <w:rStyle w:val="CharStyle8"/>
        </w:rPr>
        <w:t xml:space="preserve">от </w:t>
      </w:r>
      <w:r>
        <w:rPr>
          <w:rStyle w:val="CharStyle8"/>
          <w:lang w:val="en-US" w:eastAsia="en-US"/>
        </w:rPr>
        <w:t xml:space="preserve">01.04.2024 </w:t>
      </w:r>
      <w:r>
        <w:rPr>
          <w:rStyle w:val="CharStyle8"/>
        </w:rPr>
        <w:t xml:space="preserve">и указано наименование медицинского изделия в соответствии с регистрационным удостоверением: РЗН </w:t>
      </w:r>
      <w:r>
        <w:rPr>
          <w:rStyle w:val="CharStyle8"/>
          <w:lang w:val="en-US" w:eastAsia="en-US"/>
        </w:rPr>
        <w:t xml:space="preserve">2024/22356 </w:t>
      </w:r>
      <w:r>
        <w:rPr>
          <w:rStyle w:val="CharStyle8"/>
        </w:rPr>
        <w:t xml:space="preserve">от </w:t>
      </w:r>
      <w:r>
        <w:rPr>
          <w:rStyle w:val="CharStyle8"/>
          <w:lang w:val="en-US" w:eastAsia="en-US"/>
        </w:rPr>
        <w:t xml:space="preserve">01.04.2024 </w:t>
      </w:r>
      <w:r>
        <w:rPr>
          <w:rStyle w:val="CharStyle8"/>
        </w:rPr>
        <w:t>Аппарат наркозно-дыхательный серии АХ в вариантах исполнения: АХ-600, АХ-700, АХ-700А, АХ-800.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Согласно сведениям государственного реестра медицинских изделий и организаций (индивидуальных предпринимателей), осуществляющих производство и изготовление медицинских изделий на сайте Росздравнадзора </w:t>
      </w:r>
      <w:r>
        <w:rPr>
          <w:rStyle w:val="CharStyle8"/>
          <w:lang w:val="en-US" w:eastAsia="en-US"/>
        </w:rPr>
        <w:t>(</w:t>
      </w:r>
      <w:r>
        <w:fldChar w:fldCharType="begin"/>
      </w:r>
      <w:r>
        <w:rPr/>
        <w:instrText> HYPERLINK "https://roszdravnadzor.gov.ru/services/misearch" </w:instrText>
      </w:r>
      <w:r>
        <w:fldChar w:fldCharType="separate"/>
      </w:r>
      <w:r>
        <w:rPr>
          <w:rStyle w:val="CharStyle8"/>
          <w:lang w:val="en-US" w:eastAsia="en-US"/>
        </w:rPr>
        <w:t>https://roszdravnadzor.gov.ru/services/misearch</w:t>
      </w:r>
      <w:r>
        <w:fldChar w:fldCharType="end"/>
      </w:r>
      <w:r>
        <w:rPr>
          <w:rStyle w:val="CharStyle8"/>
          <w:lang w:val="en-US" w:eastAsia="en-US"/>
        </w:rPr>
        <w:t xml:space="preserve">) </w:t>
      </w:r>
      <w:r>
        <w:rPr>
          <w:rStyle w:val="CharStyle8"/>
        </w:rPr>
        <w:t>установлено следующее: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трубчатый расходомер является характеристикой модели АХ-600, а электронный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 xml:space="preserve">моделей АХ-700, АХ-700А и АХ-800» (страница </w:t>
      </w:r>
      <w:r>
        <w:rPr>
          <w:rStyle w:val="CharStyle8"/>
          <w:lang w:val="en-US" w:eastAsia="en-US"/>
        </w:rPr>
        <w:t xml:space="preserve">284 </w:t>
      </w:r>
      <w:r>
        <w:rPr>
          <w:rStyle w:val="CharStyle8"/>
        </w:rPr>
        <w:t>Руководства по эксплуатации).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Установлено, что Заявителем к поставке предлагается медицинское изделие в варианте исполнения АХ-700А «электронный расходомер».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В отношении спорной характеристики «Расход газовой смеси (кислород), максимальное значение, л/мин» Заявитель указывает, что уполномоченный орган неправомерно оценил значение электронного расходомера, тогда как участник закупки указал значение суммарного расходомера.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Согласно письменным и устным пояснениям представителя Комитета по конкурентной политике Мурманской области в разделе «Аппарат наркозно-дыхательный серии АХ, Руководство по эксплуатации вариантов исполнения АХ-600, АХ-700, АХ- 700А, АХ-800» в подпункте «а» Газоснабжение пункта </w:t>
      </w:r>
      <w:r>
        <w:rPr>
          <w:rStyle w:val="CharStyle8"/>
          <w:lang w:val="en-US" w:eastAsia="en-US"/>
        </w:rPr>
        <w:t xml:space="preserve">2.2.25 </w:t>
      </w:r>
      <w:r>
        <w:rPr>
          <w:rStyle w:val="CharStyle8"/>
        </w:rPr>
        <w:t xml:space="preserve">«Характеристики газового контура» (страница </w:t>
      </w:r>
      <w:r>
        <w:rPr>
          <w:rStyle w:val="CharStyle8"/>
          <w:lang w:val="en-US" w:eastAsia="en-US"/>
        </w:rPr>
        <w:t xml:space="preserve">330 </w:t>
      </w:r>
      <w:r>
        <w:rPr>
          <w:rStyle w:val="CharStyle8"/>
        </w:rPr>
        <w:t xml:space="preserve">Руководства по эксплуатации) указано следующее: «Электронный расходомер: Диапазон отображения и точность, Диапазон О2: </w:t>
      </w:r>
      <w:r>
        <w:rPr>
          <w:rStyle w:val="CharStyle8"/>
          <w:lang w:val="en-US" w:eastAsia="en-US"/>
        </w:rPr>
        <w:t xml:space="preserve">0 ~ 10 </w:t>
      </w:r>
      <w:r>
        <w:rPr>
          <w:rStyle w:val="CharStyle8"/>
        </w:rPr>
        <w:t xml:space="preserve">л </w:t>
      </w:r>
      <w:r>
        <w:rPr>
          <w:rStyle w:val="CharStyle8"/>
          <w:lang w:val="en-US" w:eastAsia="en-US"/>
        </w:rPr>
        <w:t xml:space="preserve">/ </w:t>
      </w:r>
      <w:r>
        <w:rPr>
          <w:rStyle w:val="CharStyle8"/>
        </w:rPr>
        <w:t xml:space="preserve">мин, поток можно отрегулировать до </w:t>
      </w:r>
      <w:r>
        <w:rPr>
          <w:rStyle w:val="CharStyle8"/>
          <w:lang w:val="en-US" w:eastAsia="en-US"/>
        </w:rPr>
        <w:t xml:space="preserve">50 </w:t>
      </w:r>
      <w:r>
        <w:rPr>
          <w:rStyle w:val="CharStyle8"/>
        </w:rPr>
        <w:t xml:space="preserve">мл </w:t>
      </w:r>
      <w:r>
        <w:rPr>
          <w:rStyle w:val="CharStyle8"/>
          <w:lang w:val="en-US" w:eastAsia="en-US"/>
        </w:rPr>
        <w:t xml:space="preserve">/ </w:t>
      </w:r>
      <w:r>
        <w:rPr>
          <w:rStyle w:val="CharStyle8"/>
        </w:rPr>
        <w:t>мин», что не соответствует информации, указанной в заявке Участника закупки.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Комиссия Мурманского УФАС России соглашается с доводом представителя Комитета по конкурентной политики Мурманской области о том, что значения диапазона отображения, относящиеся к электронному расходомеру </w:t>
      </w:r>
      <w:r>
        <w:rPr>
          <w:rStyle w:val="CharStyle8"/>
          <w:lang w:val="en-US" w:eastAsia="en-US"/>
        </w:rPr>
        <w:t xml:space="preserve">(0–10 </w:t>
      </w:r>
      <w:r>
        <w:rPr>
          <w:rStyle w:val="CharStyle8"/>
        </w:rPr>
        <w:t>л/мин), являются определяющими для модели АХ-700А, предложенной Заявителем к поставке.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Эксплуатационная документация производителя однозначно указывает для модели АХ-700А значение </w:t>
      </w:r>
      <w:r>
        <w:rPr>
          <w:rStyle w:val="CharStyle8"/>
          <w:lang w:val="en-US" w:eastAsia="en-US"/>
        </w:rPr>
        <w:t xml:space="preserve">0–10 </w:t>
      </w:r>
      <w:r>
        <w:rPr>
          <w:rStyle w:val="CharStyle8"/>
        </w:rPr>
        <w:t xml:space="preserve">л/мин (страница </w:t>
      </w:r>
      <w:r>
        <w:rPr>
          <w:rStyle w:val="CharStyle8"/>
          <w:lang w:val="en-US" w:eastAsia="en-US"/>
        </w:rPr>
        <w:t xml:space="preserve">330 </w:t>
      </w:r>
      <w:r>
        <w:rPr>
          <w:rStyle w:val="CharStyle8"/>
        </w:rPr>
        <w:t>Руководства по эксплуатации), что не соответствует информации, указанной в заявке Участника закупки.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Доказательств обратного Заявителем не предоставлено.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8"/>
        </w:rPr>
        <w:t>Довод жалобы признается необоснованным.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Также в доводах своей жалобы Заявитель указывает: «в описании закупки не указывается, что подразумевается под «дополнительным расходомером подачи О2», в связи с чем участник указал максимальное значение для электронного расходомера, который в соответствии с письмом ООО «КОМЕН МЕДИКАЛ РУС» является дополнительным (к суммарному) расходомером (страница </w:t>
      </w:r>
      <w:r>
        <w:rPr>
          <w:rStyle w:val="CharStyle8"/>
          <w:lang w:val="en-US" w:eastAsia="en-US"/>
        </w:rPr>
        <w:t xml:space="preserve">330 </w:t>
      </w:r>
      <w:r>
        <w:rPr>
          <w:rStyle w:val="CharStyle8"/>
        </w:rPr>
        <w:t>Руководства по эксплуатации).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Согласно пояснениям представителя Комитета по конкурентной политике Мурманской области в разделе «Аппарат наркозно-дыхательный серии АХ, Руководство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 xml:space="preserve">по эксплуатации вариантов исполнения АХ-600, АХ-700, АХ-700А, АХ-800» в подпункте «а» Газоснабжение пункта </w:t>
      </w:r>
      <w:r>
        <w:rPr>
          <w:rStyle w:val="CharStyle8"/>
          <w:lang w:val="en-US" w:eastAsia="en-US"/>
        </w:rPr>
        <w:t xml:space="preserve">2.2.25 </w:t>
      </w:r>
      <w:r>
        <w:rPr>
          <w:rStyle w:val="CharStyle8"/>
        </w:rPr>
        <w:t xml:space="preserve">«Характеристики газового контура» указано следующее «Расходомер вспомогательной подачи кислорода»: «Диапазон отображения Диапазон: </w:t>
      </w:r>
      <w:r>
        <w:rPr>
          <w:rStyle w:val="CharStyle8"/>
          <w:lang w:val="en-US" w:eastAsia="en-US"/>
        </w:rPr>
        <w:t xml:space="preserve">0~15 </w:t>
      </w:r>
      <w:r>
        <w:rPr>
          <w:rStyle w:val="CharStyle8"/>
        </w:rPr>
        <w:t>л/мин», что не соответствует информации, указанной в заявке участника.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Комиссия Мурманского УФАС России соглашается с доводами Комитета по конкурентной политике Мурманской области, поскольку инструкция производителя в отношении спорной характеристики содержит информацию: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82" w:right="0" w:firstLine="0"/>
        <w:jc w:val="left"/>
      </w:pPr>
      <w:r>
        <w:rPr>
          <w:rStyle w:val="CharStyle17"/>
        </w:rPr>
        <w:t>Расходомер вспомогательной подачи кислорода</w:t>
      </w:r>
    </w:p>
    <w:tbl>
      <w:tblPr>
        <w:tblOverlap w:val="never"/>
        <w:jc w:val="center"/>
        <w:tblLayout w:type="fixed"/>
      </w:tblPr>
      <w:tblGrid>
        <w:gridCol w:w="3216"/>
        <w:gridCol w:w="3211"/>
        <w:gridCol w:w="3499"/>
      </w:tblGrid>
      <w:tr>
        <w:trPr>
          <w:trHeight w:val="27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19"/>
                <w:sz w:val="22"/>
                <w:szCs w:val="22"/>
              </w:rPr>
              <w:t>Диапазон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19"/>
                <w:sz w:val="22"/>
                <w:szCs w:val="22"/>
              </w:rPr>
              <w:t>тип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19"/>
                <w:sz w:val="22"/>
                <w:szCs w:val="22"/>
              </w:rPr>
              <w:t>Поплавковый расходомер</w:t>
            </w:r>
          </w:p>
        </w:tc>
      </w:tr>
      <w:tr>
        <w:trPr>
          <w:trHeight w:val="264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19"/>
                <w:sz w:val="22"/>
                <w:szCs w:val="22"/>
              </w:rPr>
              <w:t>диапазон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19"/>
                <w:sz w:val="22"/>
                <w:szCs w:val="22"/>
                <w:lang w:val="en-US" w:eastAsia="en-US"/>
              </w:rPr>
              <w:t xml:space="preserve">0-15 </w:t>
            </w:r>
            <w:r>
              <w:rPr>
                <w:rStyle w:val="CharStyle19"/>
                <w:sz w:val="22"/>
                <w:szCs w:val="22"/>
              </w:rPr>
              <w:t>л/мин</w:t>
            </w:r>
          </w:p>
        </w:tc>
      </w:tr>
    </w:tbl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Комиссия Мурманского УФАС России отмечает, что в своих доводах Заявитель ссылается на документы, заверенные подписью и печатью компании ООО «КОМЕН МЕДИКАЛ РУС», не являющейся официальным уполномоченным представителем производителя по РЗН </w:t>
      </w:r>
      <w:r>
        <w:rPr>
          <w:rStyle w:val="CharStyle8"/>
          <w:lang w:val="en-US" w:eastAsia="en-US"/>
        </w:rPr>
        <w:t xml:space="preserve">2024/22356 </w:t>
      </w:r>
      <w:r>
        <w:rPr>
          <w:rStyle w:val="CharStyle8"/>
        </w:rPr>
        <w:t>по смыслу законодательства Российской Федерации об обращении медицинских изделий.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Согласно официальным сведениям государственного реестра медицинских изделий (официальный сайт Росздравнадзора), уполномоченным представителем производителя на территории Российской Федерации является ООО «Медстратегия».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8"/>
        </w:rPr>
        <w:t>Довод жалобы признается необоснованным.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В доводах своей жалобы заявитель указывает, что Руководством по эксплуатации дословно не отражена такая характеристика как «Емкость многоразовой канистры абсорбента углекислого газа», в своей заявки в отношении данной характеристики заявитель указал значение </w:t>
      </w:r>
      <w:r>
        <w:rPr>
          <w:rStyle w:val="CharStyle8"/>
          <w:lang w:val="en-US" w:eastAsia="en-US"/>
        </w:rPr>
        <w:t xml:space="preserve">1500 </w:t>
      </w:r>
      <w:r>
        <w:rPr>
          <w:rStyle w:val="CharStyle8"/>
        </w:rPr>
        <w:t>куб.см,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Согласно пояснениям представителя Комитета по конкурентной политике Мурманской области в разделе «Аппарат наркозно-дыхательный серии АХ, Руководство по эксплуатации вариантов исполнения АХ-600, АХ-700, АХ-700А, АХ-800» в подпункте г) Характеристики дыхательной системы подпункте </w:t>
      </w:r>
      <w:r>
        <w:rPr>
          <w:rStyle w:val="CharStyle8"/>
          <w:lang w:val="en-US" w:eastAsia="en-US"/>
        </w:rPr>
        <w:t xml:space="preserve">2.2.25 </w:t>
      </w:r>
      <w:r>
        <w:rPr>
          <w:rStyle w:val="CharStyle8"/>
        </w:rPr>
        <w:t xml:space="preserve">«Характеристики газового контура» указано следующее: «Объем устройства абсорбции СО2: Около </w:t>
      </w:r>
      <w:r>
        <w:rPr>
          <w:rStyle w:val="CharStyle8"/>
          <w:lang w:val="en-US" w:eastAsia="en-US"/>
        </w:rPr>
        <w:t xml:space="preserve">2000 </w:t>
      </w:r>
      <w:r>
        <w:rPr>
          <w:rStyle w:val="CharStyle8"/>
        </w:rPr>
        <w:t>мл», что не соответствует информации, указанной в заявке Участника закупки.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Комиссия Мурманского УФАС России отмечает, что на странице </w:t>
      </w:r>
      <w:r>
        <w:rPr>
          <w:rStyle w:val="CharStyle8"/>
          <w:lang w:val="en-US" w:eastAsia="en-US"/>
        </w:rPr>
        <w:t xml:space="preserve">297 </w:t>
      </w:r>
      <w:r>
        <w:rPr>
          <w:rStyle w:val="CharStyle8"/>
        </w:rPr>
        <w:t xml:space="preserve">Руководства по эксплуатации в отношении компонента «Система дыхательного контура» указаны технической характеристики, в том числе: «Канистра с известью: Объем 1500мл, размер 214х136х200,5 мм, масса: </w:t>
      </w:r>
      <w:r>
        <w:rPr>
          <w:rStyle w:val="CharStyle8"/>
          <w:lang w:val="en-US" w:eastAsia="en-US"/>
        </w:rPr>
        <w:t xml:space="preserve">668,8 </w:t>
      </w:r>
      <w:r>
        <w:rPr>
          <w:rStyle w:val="CharStyle8"/>
        </w:rPr>
        <w:t>г.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При этом Комиссией по осуществлению закупок использована информация, размещенная на странице </w:t>
      </w:r>
      <w:r>
        <w:rPr>
          <w:rStyle w:val="CharStyle8"/>
          <w:lang w:val="en-US" w:eastAsia="en-US"/>
        </w:rPr>
        <w:t xml:space="preserve">331 </w:t>
      </w:r>
      <w:r>
        <w:rPr>
          <w:rStyle w:val="CharStyle8"/>
        </w:rPr>
        <w:t>Руководства по эксплуатации, согласно которой «Объем устройства абсорбции СО2 около 2000мл».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При условии наличия в Руководстве по эксплуатации технической характеристики «Канистра с известью», не доказано правомерность применение Комиссией по осуществлению закупок иной информации.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8"/>
        </w:rPr>
        <w:t>Довод жалобы признается обоснованным.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8"/>
        </w:rPr>
        <w:t xml:space="preserve">Согласно доводам жалобы в отношении характеристики «Максимальная нагрузка на верхнюю полку» в заявке указано </w:t>
      </w:r>
      <w:r>
        <w:rPr>
          <w:rStyle w:val="CharStyle8"/>
          <w:lang w:val="en-US" w:eastAsia="en-US"/>
        </w:rPr>
        <w:t xml:space="preserve">30,00 </w:t>
      </w:r>
      <w:r>
        <w:rPr>
          <w:rStyle w:val="CharStyle8"/>
        </w:rPr>
        <w:t xml:space="preserve">Килограмм, вместе с тем в протоколе подведения итогов указано: «в разделе «Аппарат наркозно-дыхательный серии АХ, Руководство по эксплуатации вариантов исполнения АХ-600, АХ-700, АХ-700А, АХ- </w:t>
      </w:r>
      <w:r>
        <w:rPr>
          <w:rStyle w:val="CharStyle8"/>
          <w:lang w:val="en-US" w:eastAsia="en-US"/>
        </w:rPr>
        <w:t xml:space="preserve">800» </w:t>
      </w:r>
      <w:r>
        <w:rPr>
          <w:rStyle w:val="CharStyle8"/>
        </w:rPr>
        <w:t xml:space="preserve">в подпункте «г» Характеристики дыхательной системы пункте </w:t>
      </w:r>
      <w:r>
        <w:rPr>
          <w:rStyle w:val="CharStyle8"/>
          <w:lang w:val="en-US" w:eastAsia="en-US"/>
        </w:rPr>
        <w:t xml:space="preserve">2.2.23 </w:t>
      </w:r>
      <w:r>
        <w:rPr>
          <w:rStyle w:val="CharStyle8"/>
        </w:rPr>
        <w:t>«Физические характеристики (допустимое отклонение от масса-габаритных номинальных значений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  <w:lang w:val="en-US" w:eastAsia="en-US"/>
        </w:rPr>
        <w:t xml:space="preserve">±6 %), </w:t>
      </w:r>
      <w:r>
        <w:rPr>
          <w:rStyle w:val="CharStyle8"/>
        </w:rPr>
        <w:t xml:space="preserve">Верхняя панель» указано следующее: «Максимальная нагрузка: </w:t>
      </w:r>
      <w:r>
        <w:rPr>
          <w:rStyle w:val="CharStyle8"/>
          <w:lang w:val="en-US" w:eastAsia="en-US"/>
        </w:rPr>
        <w:t xml:space="preserve">20 </w:t>
      </w:r>
      <w:r>
        <w:rPr>
          <w:rStyle w:val="CharStyle8"/>
        </w:rPr>
        <w:t>кг», что не соответствует информации, указанной в заявке участника».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Согласно письменным и устным пояснениям представителя Комитета по конкурентной политике Мурманской области информация, указанная Заявителем в заявке </w:t>
      </w:r>
      <w:r>
        <w:rPr>
          <w:rStyle w:val="CharStyle8"/>
          <w:lang w:val="en-US" w:eastAsia="en-US"/>
        </w:rPr>
        <w:t xml:space="preserve">(30 </w:t>
      </w:r>
      <w:r>
        <w:rPr>
          <w:rStyle w:val="CharStyle8"/>
        </w:rPr>
        <w:t xml:space="preserve">кг), не подтверждается эксплуатационной документацией производителя на предложенное медицинское изделие, что является недостоверной информацией в понимании пункта </w:t>
      </w:r>
      <w:r>
        <w:rPr>
          <w:rStyle w:val="CharStyle8"/>
          <w:lang w:val="en-US" w:eastAsia="en-US"/>
        </w:rPr>
        <w:t xml:space="preserve">8 </w:t>
      </w:r>
      <w:r>
        <w:rPr>
          <w:rStyle w:val="CharStyle8"/>
        </w:rPr>
        <w:t xml:space="preserve">части </w:t>
      </w:r>
      <w:r>
        <w:rPr>
          <w:rStyle w:val="CharStyle8"/>
          <w:lang w:val="en-US" w:eastAsia="en-US"/>
        </w:rPr>
        <w:t xml:space="preserve">12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48 </w:t>
      </w:r>
      <w:r>
        <w:rPr>
          <w:rStyle w:val="CharStyle8"/>
        </w:rPr>
        <w:t>Закона о контрактной системе.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Уставлено, что на странице </w:t>
      </w:r>
      <w:r>
        <w:rPr>
          <w:rStyle w:val="CharStyle8"/>
          <w:lang w:val="en-US" w:eastAsia="en-US"/>
        </w:rPr>
        <w:t xml:space="preserve">327 </w:t>
      </w:r>
      <w:r>
        <w:rPr>
          <w:rStyle w:val="CharStyle8"/>
        </w:rPr>
        <w:t xml:space="preserve">Руководства по эксплуатации пункт </w:t>
      </w:r>
      <w:r>
        <w:rPr>
          <w:rStyle w:val="CharStyle8"/>
          <w:lang w:val="en-US" w:eastAsia="en-US"/>
        </w:rPr>
        <w:t xml:space="preserve">2.2.23 </w:t>
      </w:r>
      <w:r>
        <w:rPr>
          <w:rStyle w:val="CharStyle8"/>
        </w:rPr>
        <w:t xml:space="preserve">содержит информацию в отношении физических характеристик: Верхняя панель: максимальная </w:t>
      </w:r>
      <w:r>
        <w:rPr>
          <w:rStyle w:val="CharStyle8"/>
          <w:lang w:val="en-US" w:eastAsia="en-US"/>
        </w:rPr>
        <w:t xml:space="preserve">20 </w:t>
      </w:r>
      <w:r>
        <w:rPr>
          <w:rStyle w:val="CharStyle8"/>
        </w:rPr>
        <w:t>кг.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Руководство по эксплуатации не содержит физической характеристики: «верхняя полка».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В контексте медицинских изделий термины «верхняя панель» и «верхняя полка» могут иметь разные значения в зависимости от типа изделия и его конструкции.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8"/>
        </w:rPr>
        <w:t>Основное отличие между верхней панелью и верхней полкой заключается в их функциональном назначении и расположении в конструкции медицинского изделия, следовательно, применение физических характеристик по аналогии не допустимо, доказательств обратного на заседание Комиссии Мурманского УФАС России.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Комиссия Мурманского УФАС России отмечает. что заявка участника должна содержать как характеристики предлагаемого товара, соответствующие показателям, установленным в описании объекта закупки в соответствии с частью </w:t>
      </w:r>
      <w:r>
        <w:rPr>
          <w:rStyle w:val="CharStyle8"/>
          <w:lang w:val="en-US" w:eastAsia="en-US"/>
        </w:rPr>
        <w:t xml:space="preserve">2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33 </w:t>
      </w:r>
      <w:r>
        <w:rPr>
          <w:rStyle w:val="CharStyle8"/>
        </w:rPr>
        <w:t>Закона о контрактной системе, так и его фактические, соответствующие данным производителя.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Буквальное толкование пункта </w:t>
      </w:r>
      <w:r>
        <w:rPr>
          <w:rStyle w:val="CharStyle8"/>
          <w:lang w:val="en-US" w:eastAsia="en-US"/>
        </w:rPr>
        <w:t xml:space="preserve">8 </w:t>
      </w:r>
      <w:r>
        <w:rPr>
          <w:rStyle w:val="CharStyle8"/>
        </w:rPr>
        <w:t xml:space="preserve">части </w:t>
      </w:r>
      <w:r>
        <w:rPr>
          <w:rStyle w:val="CharStyle8"/>
          <w:lang w:val="en-US" w:eastAsia="en-US"/>
        </w:rPr>
        <w:t xml:space="preserve">12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48 </w:t>
      </w:r>
      <w:r>
        <w:rPr>
          <w:rStyle w:val="CharStyle8"/>
        </w:rPr>
        <w:t>Закона о контрактной системе позволяет сделать вывод о том, что для принятия решения об отклонении той или иной заявки по причине наличия в ней недостоверных сведений комиссия должна располагать реальным, неопровержимым и документальным подтверждением данного обстоятельства, но не руководствоваться предположениями и возможными допущениями о наличии недостоверности в документах участника закупки.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При этом предоставленное комиссии право отклонить поданную заявку в случае обнаружения в ней недостоверных сведений свидетельствует о том, что располагать такой информацией комиссия должна непосредственно на момент принятия соответствующего решения.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Материалы дела содержат доказательства того, что заявка Заявителя на участие в Аукционе содержит недостоверную информацию, касающуюся качественных характеристик товаров, предлагаемых к поставке.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То есть, в рассматриваемом случае у Комиссии по осуществлению закупок имелись основания сомневаться в достоверности представленных в заявке заявителя сведений, как минимум, в отношении двух характеристик: «Расход газовой смеси (кислород)», и «Дополнительный ротаметр подачи О2».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С учетом изложенного, Комиссия Мурманского УФАС России приходит к выводу о том, что действия Комиссии по осуществлению закупок, при рассмотрении заявки Заявителя на участие в закупке, не противоречат требованиям Закона о контрактной системе.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При установленных обстоятельствах Комиссия УФАС приходит к выводу, что доводы жалобы о неправомерном отклонении заявки не находят своего подтверждения и являются необоснованными.</w:t>
      </w:r>
      <w:r>
        <w:br w:type="page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Комиссия Мурманского УФАС России, руководствуясь статьями </w:t>
      </w:r>
      <w:r>
        <w:rPr>
          <w:rStyle w:val="CharStyle8"/>
          <w:lang w:val="en-US" w:eastAsia="en-US"/>
        </w:rPr>
        <w:t xml:space="preserve">99, 106 </w:t>
      </w:r>
      <w:r>
        <w:rPr>
          <w:rStyle w:val="CharStyle8"/>
        </w:rPr>
        <w:t>Закона о контрактной системе,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8"/>
        </w:rPr>
        <w:t>РЕШИЛА: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8"/>
          <w:lang w:val="en-US" w:eastAsia="en-US"/>
        </w:rPr>
        <w:t xml:space="preserve">1. </w:t>
      </w:r>
      <w:r>
        <w:rPr>
          <w:rStyle w:val="CharStyle8"/>
        </w:rPr>
        <w:t xml:space="preserve">Признать жалобу индивидуального предпринимателя Рогозина Сергея Александровича на действия Комитета по конкурентной политике Мурманской области и Заказчика </w:t>
      </w:r>
      <w:r>
        <w:rPr>
          <w:rStyle w:val="CharStyle8"/>
          <w:lang w:val="en-US" w:eastAsia="en-US"/>
        </w:rPr>
        <w:t xml:space="preserve">- </w:t>
      </w:r>
      <w:r>
        <w:rPr>
          <w:rStyle w:val="CharStyle8"/>
        </w:rPr>
        <w:t xml:space="preserve">Государственного областного бюджетного учреждения здравоохранения «Мурманская областная клиническая больница имени П.А. Баяндина» при проведении закупки: «Поставка медицинского изделия (Система анестезиологическая, общего назначения), ввод в эксплуатацию медицинских изделий,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 для нужд филиала ГОБУЗ «МОКБ им. П.А.Баяндина» </w:t>
      </w:r>
      <w:r>
        <w:rPr>
          <w:rStyle w:val="CharStyle8"/>
          <w:lang w:val="en-US" w:eastAsia="en-US"/>
        </w:rPr>
        <w:t xml:space="preserve">- </w:t>
      </w:r>
      <w:r>
        <w:rPr>
          <w:rStyle w:val="CharStyle8"/>
        </w:rPr>
        <w:t xml:space="preserve">ЦРБ ЗАТО г. Североморск» (реестровый номер извещения </w:t>
      </w:r>
      <w:r>
        <w:rPr>
          <w:rStyle w:val="CharStyle8"/>
          <w:lang w:val="en-US" w:eastAsia="en-US"/>
        </w:rPr>
        <w:t xml:space="preserve">0149200002326002037) </w:t>
      </w:r>
      <w:r>
        <w:rPr>
          <w:rStyle w:val="CharStyle8"/>
        </w:rPr>
        <w:t>необоснованной.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Решение может быть обжаловано в судебном порядке в течение трёх месяцев со дня его принятия.</w:t>
      </w:r>
    </w:p>
    <w:p>
      <w:pPr>
        <w:widowControl w:val="0"/>
        <w:spacing w:line="1" w:lineRule="exact"/>
        <w:sectPr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1048" w:right="826" w:bottom="1164" w:left="1104" w:header="62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441960" distL="0" distR="0" simplePos="0" relativeHeight="125829382" behindDoc="0" locked="0" layoutInCell="1" allowOverlap="1">
                <wp:simplePos x="0" y="0"/>
                <wp:positionH relativeFrom="page">
                  <wp:posOffset>741045</wp:posOffset>
                </wp:positionH>
                <wp:positionV relativeFrom="paragraph">
                  <wp:posOffset>114300</wp:posOffset>
                </wp:positionV>
                <wp:extent cx="1694815" cy="23495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481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8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8.350000000000001pt;margin-top:9.pt;width:133.44999999999999pt;height:18.5pt;z-index:-125829371;mso-wrap-distance-left:0;mso-wrap-distance-top:9.pt;mso-wrap-distance-right:0;mso-wrap-distance-bottom:34.800000000000004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8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36220" distB="0" distL="0" distR="1786255" simplePos="0" relativeHeight="125829384" behindDoc="0" locked="0" layoutInCell="1" allowOverlap="1">
            <wp:simplePos x="0" y="0"/>
            <wp:positionH relativeFrom="page">
              <wp:posOffset>2853055</wp:posOffset>
            </wp:positionH>
            <wp:positionV relativeFrom="paragraph">
              <wp:posOffset>236220</wp:posOffset>
            </wp:positionV>
            <wp:extent cx="389890" cy="55499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3347085</wp:posOffset>
                </wp:positionH>
                <wp:positionV relativeFrom="paragraph">
                  <wp:posOffset>675005</wp:posOffset>
                </wp:positionV>
                <wp:extent cx="1283335" cy="10033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6"/>
                                <w:color w:val="E7E7E7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63.55000000000001pt;margin-top:53.14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6"/>
                          <w:color w:val="E7E7E7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3303905</wp:posOffset>
                </wp:positionH>
                <wp:positionV relativeFrom="paragraph">
                  <wp:posOffset>358140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6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Style w:val="CharStyle26"/>
                                <w:color w:val="000000"/>
                              </w:rPr>
                              <w:t xml:space="preserve">ЭП, </w:t>
                            </w:r>
                            <w:r>
                              <w:rPr>
                                <w:rStyle w:val="CharStyle26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60.14999999999998pt;margin-top:28.19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6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Style w:val="CharStyle26"/>
                          <w:color w:val="000000"/>
                        </w:rPr>
                        <w:t xml:space="preserve">ЭП, </w:t>
                      </w:r>
                      <w:r>
                        <w:rPr>
                          <w:rStyle w:val="CharStyle26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441960" distL="0" distR="0" simplePos="0" relativeHeight="125829385" behindDoc="0" locked="0" layoutInCell="1" allowOverlap="1">
                <wp:simplePos x="0" y="0"/>
                <wp:positionH relativeFrom="page">
                  <wp:posOffset>5852795</wp:posOffset>
                </wp:positionH>
                <wp:positionV relativeFrom="paragraph">
                  <wp:posOffset>114300</wp:posOffset>
                </wp:positionV>
                <wp:extent cx="1158240" cy="23495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824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8"/>
                              </w:rPr>
                              <w:t>М.Е. Прохорова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60.85000000000002pt;margin-top:9.pt;width:91.200000000000003pt;height:18.5pt;z-index:-125829368;mso-wrap-distance-left:0;mso-wrap-distance-top:9.pt;mso-wrap-distance-right:0;mso-wrap-distance-bottom:34.800000000000004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8"/>
                        </w:rPr>
                        <w:t>М.Е. Прохорова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460" w:right="0" w:firstLine="0"/>
        <w:jc w:val="left"/>
      </w:pPr>
      <w:r>
        <w:rPr>
          <w:rStyle w:val="CharStyle31"/>
        </w:rPr>
        <w:t xml:space="preserve">Кому </w:t>
      </w:r>
      <w:r>
        <w:rPr>
          <w:rStyle w:val="CharStyle31"/>
          <w:color w:val="5E5E5E"/>
        </w:rPr>
        <w:t xml:space="preserve">выдан: </w:t>
      </w:r>
      <w:r>
        <w:rPr>
          <w:rStyle w:val="CharStyle31"/>
          <w:color w:val="000000"/>
        </w:rPr>
        <w:t>Прохорова Маргарита Евгеньевна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460" w:right="0" w:firstLine="0"/>
        <w:jc w:val="left"/>
      </w:pPr>
      <w:r>
        <w:rPr>
          <w:rStyle w:val="CharStyle31"/>
        </w:rPr>
        <w:t xml:space="preserve">Сертификат </w:t>
      </w:r>
      <w:r>
        <w:rPr>
          <w:rStyle w:val="CharStyle31"/>
          <w:color w:val="292929"/>
        </w:rPr>
        <w:t xml:space="preserve">№ </w:t>
      </w:r>
      <w:r>
        <w:rPr>
          <w:rStyle w:val="CharStyle31"/>
          <w:lang w:val="en-US" w:eastAsia="en-US"/>
        </w:rPr>
        <w:t>25355D0E55E6E68040CFFB97835A66F3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3460" w:right="0" w:firstLine="0"/>
        <w:jc w:val="left"/>
      </w:pPr>
      <w:r>
        <w:rPr>
          <w:rStyle w:val="CharStyle31"/>
        </w:rPr>
        <w:t xml:space="preserve">Действителен </w:t>
      </w:r>
      <w:r>
        <w:rPr>
          <w:rStyle w:val="CharStyle31"/>
          <w:color w:val="5E5E5E"/>
        </w:rPr>
        <w:t xml:space="preserve">с </w:t>
      </w:r>
      <w:r>
        <w:rPr>
          <w:rStyle w:val="CharStyle31"/>
        </w:rPr>
        <w:t xml:space="preserve">29.01.2026 по </w:t>
      </w:r>
      <w:r>
        <w:rPr>
          <w:rStyle w:val="CharStyle31"/>
          <w:color w:val="5E5E5E"/>
        </w:rPr>
        <w:t>24.04.2027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8"/>
        </w:rPr>
        <w:t>Члены комиссии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left="0" w:right="0" w:firstLine="0"/>
        <w:jc w:val="righ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2920365</wp:posOffset>
            </wp:positionH>
            <wp:positionV relativeFrom="paragraph">
              <wp:posOffset>114300</wp:posOffset>
            </wp:positionV>
            <wp:extent cx="389890" cy="55499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3414395</wp:posOffset>
                </wp:positionH>
                <wp:positionV relativeFrom="paragraph">
                  <wp:posOffset>553085</wp:posOffset>
                </wp:positionV>
                <wp:extent cx="1283335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68.85000000000002pt;margin-top:43.550000000000004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3374390</wp:posOffset>
                </wp:positionH>
                <wp:positionV relativeFrom="paragraph">
                  <wp:posOffset>236220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65.69999999999999pt;margin-top:18.6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8"/>
        </w:rPr>
        <w:t>Н.И.Чоповская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1"/>
        </w:rPr>
        <w:t xml:space="preserve">Кому выдан: </w:t>
      </w:r>
      <w:r>
        <w:rPr>
          <w:rStyle w:val="CharStyle31"/>
          <w:color w:val="000000"/>
        </w:rPr>
        <w:t>Чоповская Наталья Ивановна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1"/>
        </w:rPr>
        <w:t xml:space="preserve">Сертификат </w:t>
      </w:r>
      <w:r>
        <w:rPr>
          <w:rStyle w:val="CharStyle31"/>
          <w:color w:val="292929"/>
        </w:rPr>
        <w:t xml:space="preserve">№ </w:t>
      </w:r>
      <w:r>
        <w:rPr>
          <w:rStyle w:val="CharStyle31"/>
          <w:lang w:val="en-US" w:eastAsia="en-US"/>
        </w:rPr>
        <w:t>00F4274CB03B68A185574697D9FF53F888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rStyle w:val="CharStyle31"/>
        </w:rPr>
        <w:t xml:space="preserve">Действителен с 04.03.2026 </w:t>
      </w:r>
      <w:r>
        <w:rPr>
          <w:rStyle w:val="CharStyle31"/>
          <w:color w:val="5E5E5E"/>
        </w:rPr>
        <w:t xml:space="preserve">по </w:t>
      </w:r>
      <w:r>
        <w:rPr>
          <w:rStyle w:val="CharStyle31"/>
        </w:rPr>
        <w:t>28.05.2027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8"/>
        </w:rPr>
        <w:t>А.А.Конох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right="0"/>
        <w:jc w:val="left"/>
      </w:pPr>
      <w:r>
        <w:rPr>
          <w:rStyle w:val="CharStyle36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3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36"/>
          <w:color w:val="FFFFFF"/>
          <w:sz w:val="12"/>
          <w:szCs w:val="12"/>
        </w:rPr>
        <w:t>СВЕДЕНИЯ О СЕРТИФИКАТЕ ЭП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1"/>
        </w:rPr>
        <w:t xml:space="preserve">Кому выдан: </w:t>
      </w:r>
      <w:r>
        <w:rPr>
          <w:rStyle w:val="CharStyle31"/>
          <w:color w:val="000000"/>
        </w:rPr>
        <w:t>Конох Анна Александровна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1"/>
        </w:rPr>
        <w:t xml:space="preserve">Сертификат </w:t>
      </w:r>
      <w:r>
        <w:rPr>
          <w:rStyle w:val="CharStyle31"/>
          <w:color w:val="292929"/>
        </w:rPr>
        <w:t xml:space="preserve">№ </w:t>
      </w:r>
      <w:r>
        <w:rPr>
          <w:rStyle w:val="CharStyle31"/>
          <w:lang w:val="en-US" w:eastAsia="en-US"/>
        </w:rPr>
        <w:t>00EF5DE6AB77D56E449D807E3DF8B478A</w:t>
      </w:r>
      <w:r>
        <w:rPr>
          <w:rStyle w:val="CharStyle31"/>
          <w:lang w:val="en-US" w:eastAsia="en-US"/>
        </w:rPr>
        <w:t>7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rStyle w:val="CharStyle31"/>
        </w:rPr>
        <w:t xml:space="preserve">Действителен с 19.01.2026 </w:t>
      </w:r>
      <w:r>
        <w:rPr>
          <w:rStyle w:val="CharStyle31"/>
          <w:color w:val="5E5E5E"/>
        </w:rPr>
        <w:t xml:space="preserve">по </w:t>
      </w:r>
      <w:r>
        <w:rPr>
          <w:rStyle w:val="CharStyle31"/>
        </w:rPr>
        <w:t>14.04.2027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834" w:bottom="1110" w:left="110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658495" cy="10985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2026-2612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5.70000000000005pt;width:51.850000000000001pt;height:8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2026-2612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10017760</wp:posOffset>
              </wp:positionV>
              <wp:extent cx="658495" cy="10985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</w:rPr>
                            <w:t>2026-2612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899999999999999pt;margin-top:788.80000000000007pt;width:51.850000000000001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</w:rPr>
                      <w:t>2026-2612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character" w:customStyle="1" w:styleId="CharStyle6">
    <w:name w:val="Body text (5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character" w:customStyle="1" w:styleId="CharStyle8">
    <w:name w:val="Body text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0">
    <w:name w:val="Header or footer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3">
    <w:name w:val="Heading #1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7">
    <w:name w:val="Table caption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9">
    <w:name w:val="Other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6">
    <w:name w:val="Picture caption_"/>
    <w:basedOn w:val="DefaultParagraphFont"/>
    <w:link w:val="Style2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31">
    <w:name w:val="Body text (2)_"/>
    <w:basedOn w:val="DefaultParagraphFont"/>
    <w:link w:val="Style30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36">
    <w:name w:val="Body text (4)_"/>
    <w:basedOn w:val="DefaultParagraphFont"/>
    <w:link w:val="Style3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90" w:line="29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paragraph" w:customStyle="1" w:styleId="Style5">
    <w:name w:val="Body text (5)"/>
    <w:basedOn w:val="Normal"/>
    <w:link w:val="CharStyle6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paragraph" w:styleId="Style7">
    <w:name w:val="Body text"/>
    <w:basedOn w:val="Normal"/>
    <w:link w:val="CharStyle8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9">
    <w:name w:val="Header or footer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2">
    <w:name w:val="Heading #1"/>
    <w:basedOn w:val="Normal"/>
    <w:link w:val="CharStyle13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6">
    <w:name w:val="Table caption"/>
    <w:basedOn w:val="Normal"/>
    <w:link w:val="CharStyle17"/>
    <w:pPr>
      <w:widowControl w:val="0"/>
      <w:shd w:val="clear" w:color="auto" w:fill="auto"/>
      <w:ind w:firstLine="7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8">
    <w:name w:val="Other"/>
    <w:basedOn w:val="Normal"/>
    <w:link w:val="CharStyle1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5">
    <w:name w:val="Picture caption"/>
    <w:basedOn w:val="Normal"/>
    <w:link w:val="CharStyle2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30">
    <w:name w:val="Body text (2)"/>
    <w:basedOn w:val="Normal"/>
    <w:link w:val="CharStyle31"/>
    <w:pPr>
      <w:widowControl w:val="0"/>
      <w:shd w:val="clear" w:color="auto" w:fill="auto"/>
      <w:ind w:left="35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35">
    <w:name w:val="Body text (4)"/>
    <w:basedOn w:val="Normal"/>
    <w:link w:val="CharStyle36"/>
    <w:pPr>
      <w:widowControl w:val="0"/>
      <w:shd w:val="clear" w:color="auto" w:fill="auto"/>
      <w:spacing w:after="100"/>
      <w:ind w:left="4180" w:firstLine="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image" Target="media/image2.png"/><Relationship Id="rId9" Type="http://schemas.openxmlformats.org/officeDocument/2006/relationships/image" Target="media/image2.png" TargetMode="External"/><Relationship Id="rId10" Type="http://schemas.openxmlformats.org/officeDocument/2006/relationships/footer" Target="footer2.xml"/><Relationship Id="rId11" Type="http://schemas.openxmlformats.org/officeDocument/2006/relationships/footer" Target="footer3.xm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Relationship Id="rId14" Type="http://schemas.openxmlformats.org/officeDocument/2006/relationships/image" Target="media/image4.jpeg"/><Relationship Id="rId15" Type="http://schemas.openxmlformats.org/officeDocument/2006/relationships/image" Target="media/image4.jpeg" TargetMode="External"/></Relationships>
</file>