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39370</wp:posOffset>
                </wp:positionV>
                <wp:extent cx="2416810" cy="185610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56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20823/26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4.650000000000006pt;margin-top:3.1000000000000001pt;width:190.30000000000001pt;height:146.1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20823/26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1320" w:right="0" w:firstLine="0"/>
        <w:jc w:val="left"/>
      </w:pPr>
      <w:r>
        <w:rPr>
          <w:rStyle w:val="CharStyle7"/>
        </w:rPr>
        <w:t xml:space="preserve">Библиотека иностранной литературы </w:t>
      </w:r>
      <w:r>
        <w:fldChar w:fldCharType="begin"/>
      </w:r>
      <w:r>
        <w:rPr/>
        <w:instrText> HYPERLINK "mailto:sergey.s.machekhin@libfl.ru" </w:instrText>
      </w:r>
      <w:r>
        <w:fldChar w:fldCharType="separate"/>
      </w:r>
      <w:r>
        <w:rPr>
          <w:rStyle w:val="CharStyle7"/>
          <w:lang w:val="en-US" w:eastAsia="en-US"/>
        </w:rPr>
        <w:t>sergey.s.machekhin@libfl.ru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320" w:right="0" w:firstLine="0"/>
        <w:jc w:val="left"/>
      </w:pPr>
      <w:r>
        <w:rPr>
          <w:rStyle w:val="CharStyle7"/>
        </w:rPr>
        <w:t>ИП Федорова В.Г.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1320" w:right="0" w:firstLine="0"/>
        <w:jc w:val="left"/>
      </w:pPr>
      <w:r>
        <w:fldChar w:fldCharType="begin"/>
      </w:r>
      <w:r>
        <w:rPr/>
        <w:instrText> HYPERLINK "mailto:ip_fedorovavg@mail.ru" </w:instrText>
      </w:r>
      <w:r>
        <w:fldChar w:fldCharType="separate"/>
      </w:r>
      <w:r>
        <w:rPr>
          <w:rStyle w:val="CharStyle7"/>
          <w:lang w:val="en-US" w:eastAsia="en-US"/>
        </w:rPr>
        <w:t>ip_fedorovavg@mail.ru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202" w:left="5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РТС-тендер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7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№077/06/105-6029/2026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13.05.2026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1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</w:t>
        <w:tab/>
        <w:t>Управления Федеральной антимонопольной службы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hanging="700"/>
        <w:jc w:val="both"/>
      </w:pPr>
      <w:r>
        <w:rPr>
          <w:rStyle w:val="CharStyle7"/>
        </w:rPr>
        <w:t xml:space="preserve">г. Москве по контролю в сфере закупок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Комиссия Управления) в составе: 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62" w:val="left"/>
          <w:tab w:pos="4838" w:val="left"/>
          <w:tab w:pos="6834" w:val="left"/>
          <w:tab w:pos="924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Е.С.Переверзевой,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62" w:val="left"/>
          <w:tab w:pos="4838" w:val="left"/>
          <w:tab w:pos="6834" w:val="left"/>
          <w:tab w:pos="924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А.С.Гелмутдиновой,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Библиотека иностранной литературы: И.В. Игнатовой (по дов. </w:t>
      </w:r>
      <w:r>
        <w:rPr>
          <w:rStyle w:val="CharStyle7"/>
          <w:lang w:val="en-US" w:eastAsia="en-US"/>
        </w:rPr>
        <w:t xml:space="preserve">№458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12.05.2026),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 участии третьего лица: Т.В. Афанасьевой (по дов. №б/н от </w:t>
      </w:r>
      <w:r>
        <w:rPr>
          <w:rStyle w:val="CharStyle7"/>
          <w:lang w:val="en-US" w:eastAsia="en-US"/>
        </w:rPr>
        <w:t>24.10.2025),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отсутствие представителей ИП Федорова В.Г.,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ЕИС),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рассмотрев жалобу ИП Федорова В.Г.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Библиотека иностранной литературы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запроса котировок в электронной форме на право заключения государственного контракта на оказание комплекса услуг по организации и обеспечению соблюдения законодательства в области пожарной безопасности, требований норм и правил противопожарного режима, техническому обслуживанию, планово</w:t>
        <w:softHyphen/>
        <w:t>предупредительному ремонту, эксплуатации систем противопожарной защиты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7"/>
        </w:rPr>
        <w:t xml:space="preserve">административных зданиях, расположенных по адресам: </w:t>
      </w:r>
      <w:r>
        <w:rPr>
          <w:rStyle w:val="CharStyle7"/>
          <w:lang w:val="en-US" w:eastAsia="en-US"/>
        </w:rPr>
        <w:t xml:space="preserve">109240 </w:t>
      </w:r>
      <w:r>
        <w:rPr>
          <w:rStyle w:val="CharStyle7"/>
        </w:rPr>
        <w:t xml:space="preserve">г. Москва, ул. Николоямская, д.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д.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д. </w:t>
      </w:r>
      <w:r>
        <w:rPr>
          <w:rStyle w:val="CharStyle7"/>
          <w:lang w:val="en-US" w:eastAsia="en-US"/>
        </w:rPr>
        <w:t xml:space="preserve">6.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0373100109626000006)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о проведении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в извещении об осуществлении закупки Заказчиком неправомерно не установлено требование о наличии у участника закупки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с указанием вида лицензируемой деятельности монтаж, техническое обслуживание и ремонт первичных средств пожаротушения.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извещении, в том числе указаны следующие работы, необходимые к выполнению в рамках контракта, заключаемого по результатам обжалуемой конкурентной процедуры, например: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rStyle w:val="CharStyle7"/>
          <w:i/>
          <w:iCs/>
        </w:rPr>
        <w:t>«(1-й месяц) Оказание комплекса услуг по организации и обеспечению соблюдения законодательства в области пожарной безопасности, требований норм и правил противопожарного режима, техническому обслуживанию, планово</w:t>
        <w:softHyphen/>
        <w:t xml:space="preserve">предупредительному ремонту, эксплуатации систем противопожарной защиты в административных зданиях, расположенных по адресам: </w:t>
      </w:r>
      <w:r>
        <w:rPr>
          <w:rStyle w:val="CharStyle7"/>
          <w:i/>
          <w:iCs/>
          <w:lang w:val="en-US" w:eastAsia="en-US"/>
        </w:rPr>
        <w:t xml:space="preserve">109240 </w:t>
      </w:r>
      <w:r>
        <w:rPr>
          <w:rStyle w:val="CharStyle7"/>
          <w:i/>
          <w:iCs/>
        </w:rPr>
        <w:t xml:space="preserve">г. Москва, ул. Николоямская, д. </w:t>
      </w:r>
      <w:r>
        <w:rPr>
          <w:rStyle w:val="CharStyle7"/>
          <w:i/>
          <w:iCs/>
          <w:lang w:val="en-US" w:eastAsia="en-US"/>
        </w:rPr>
        <w:t xml:space="preserve">1, </w:t>
      </w:r>
      <w:r>
        <w:rPr>
          <w:rStyle w:val="CharStyle7"/>
          <w:i/>
          <w:iCs/>
        </w:rPr>
        <w:t>д. 4,д.6».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7"/>
        </w:rPr>
        <w:t>Кроме того, Комиссией Управления установлено, что в Техническом задании содержится,в том числе,следующие положения: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7"/>
          <w:i/>
          <w:iCs/>
        </w:rPr>
        <w:t>«Оказание комплекса организационно-технических услуг по обеспечению пожарной безопасности и выполнению мероприятий в области ГО и ЧС в зданиях сооружениях и территории, эксплуатация и техническое обслуживание зданий инженерного и технологического оборудования, инженерных систем и коммуникаций осуществляется в соответствии с действующими в Российской Федерации нормативно-правовыми актами, Указами Президента России, Постановлениями Правительства России, Приказами Федеральной службы по экологическому технологическому и атомному надзору (Ростехнадзором), Положениями Федеральных органов исполнительной власти».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7"/>
          <w:i/>
          <w:iCs/>
        </w:rPr>
        <w:t>Также положения Технического задания содержат в себе следующие положения: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7"/>
          <w:i/>
          <w:iCs/>
          <w:lang w:val="en-US" w:eastAsia="en-US"/>
        </w:rPr>
        <w:t xml:space="preserve">«4.2.5 </w:t>
      </w:r>
      <w:r>
        <w:rPr>
          <w:rStyle w:val="CharStyle7"/>
          <w:i/>
          <w:iCs/>
        </w:rPr>
        <w:t>Первичные средства пожаротушения.</w:t>
      </w:r>
    </w:p>
    <w:p>
      <w:pPr>
        <w:pStyle w:val="Style6"/>
        <w:keepNext w:val="0"/>
        <w:keepLines w:val="0"/>
        <w:widowControl w:val="0"/>
        <w:numPr>
          <w:ilvl w:val="3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i/>
          <w:iCs/>
        </w:rPr>
        <w:t>Пожарные краны и пожарные рукава.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Проверка укомплектованности рукавами и стволами.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 xml:space="preserve">Проверка составных частей ПК (технологической части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трубопроводов, запорной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>арматуры и т.д.), на отсутствие повреждений, коррозии, грязи, течи; прочности креплений, наличие пломб и т.п.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Проведение перекатки рукавов на новую скатку устройством типа ТЦ-11-П.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i/>
          <w:iCs/>
        </w:rPr>
        <w:t>Запись о факте, номере пожарного поста и дате выполнения перекатки отражается в оперативных документах Исполнителя.</w:t>
      </w:r>
    </w:p>
    <w:p>
      <w:pPr>
        <w:pStyle w:val="Style6"/>
        <w:keepNext w:val="0"/>
        <w:keepLines w:val="0"/>
        <w:widowControl w:val="0"/>
        <w:numPr>
          <w:ilvl w:val="3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i/>
          <w:iCs/>
        </w:rPr>
        <w:t>Огнетушители.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Проверка составных частей огнетушителя, целостности креплений узлов и агрегатов, крепёжных кронштейнов и подставок в местах установки.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Контроль давления, рабочего положения запорной арматуры и т.д.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Проверка корпуса на предмет наличия признаков коррозии и механических повреждений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Проверка работоспособности составных частей пожарного огнетушителя.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Профилактические работы, очистка корпуса и составных частей.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Бурментация (встряхивание) порошкового огнетушителя.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Маркировка пожарного огнетушителя, ведение журнала учета огнетушителей.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Выборочное испытание пожарных огнетушителей с имитацией срабатывания.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В случае выхода из строя оборудования и средств пожарной автоматики и защиты и не подлежащего ремонту: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В рамках гарантийного срока оформляется заявка в фирму производившей монтаж оборудования систем противопожарной защиты и автоматики для проведения замены;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2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7"/>
          <w:i/>
          <w:iCs/>
        </w:rPr>
        <w:t>После истечения гарантийного срока, а также в случае выявления неисправностей, не подлежащих устранению на месте, производится перезарядка огнетушителей с закупкой необходимых материалов и оборудования. Оплачивается Заказчиком отдельно. Ответственность по приобретению материалов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>оборудования и их перезарядке или замене лежит на Исполнителе».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в рамках закупаемых работ Заказчиком закупаются работы, в том числе, по техническому обслуживанию первичных средств пожаротушения.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ч.1 ст.49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п.15 ч.1 ст.12 Федерального закона «О лицензировании отдельных видов деятельности» от </w:t>
      </w:r>
      <w:r>
        <w:rPr>
          <w:rStyle w:val="CharStyle7"/>
          <w:lang w:val="en-US" w:eastAsia="en-US"/>
        </w:rPr>
        <w:t xml:space="preserve">04.05.2011 </w:t>
      </w:r>
      <w:r>
        <w:rPr>
          <w:rStyle w:val="CharStyle7"/>
        </w:rPr>
        <w:t xml:space="preserve">№99-ФЗ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Закон о лицензировании) лицензированию подлежит такой вид деятельности как деятельность по монтажу, техническому обслуживанию и ремонту средств обеспечения пожарной безопасности зданий и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соответствии с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</w:t>
      </w:r>
      <w:r>
        <w:rPr>
          <w:rStyle w:val="CharStyle7"/>
          <w:lang w:val="en-US" w:eastAsia="en-US"/>
        </w:rPr>
        <w:t xml:space="preserve">4, 5, 18, 30, 42, 49, 54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59 </w:t>
      </w:r>
      <w:r>
        <w:rPr>
          <w:rStyle w:val="CharStyle7"/>
        </w:rPr>
        <w:t>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28.07.2020 №1128 </w:t>
      </w:r>
      <w:r>
        <w:rPr>
          <w:rStyle w:val="CharStyle7"/>
        </w:rPr>
        <w:t xml:space="preserve">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 утверждено Положение о лицензировании деятельности по монтажу, техническому обслуживанию и ремонту средств обеспечения пожарной безопасности зданий и сооружений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п.3 Положения лицензируемая деятельность включает в себя выполнение работ и оказание услуг согласно перечню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сооружений, предусмотренному приложением к Положению.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Приложением к Положению «Перечень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сооружений» определены виды работ (услуг) составляющих деятельность по монтажу, техническому обслуживанию и ремонту средств обеспечения пожарной безопасности зданий и сооружений,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1. </w:t>
      </w:r>
      <w:r>
        <w:rPr>
          <w:rStyle w:val="CharStyle7"/>
        </w:rPr>
        <w:t>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2. </w:t>
      </w:r>
      <w:r>
        <w:rPr>
          <w:rStyle w:val="CharStyle7"/>
        </w:rPr>
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3. </w:t>
      </w:r>
      <w:r>
        <w:rPr>
          <w:rStyle w:val="CharStyle7"/>
        </w:rPr>
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4. </w:t>
      </w:r>
      <w:r>
        <w:rPr>
          <w:rStyle w:val="CharStyle7"/>
        </w:rPr>
        <w:t>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5. </w:t>
      </w:r>
      <w:r>
        <w:rPr>
          <w:rStyle w:val="CharStyle7"/>
        </w:rPr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6. </w:t>
      </w:r>
      <w:r>
        <w:rPr>
          <w:rStyle w:val="CharStyle7"/>
        </w:rPr>
        <w:t>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7. </w:t>
      </w:r>
      <w:r>
        <w:rPr>
          <w:rStyle w:val="CharStyle7"/>
        </w:rPr>
        <w:t>Монтаж, техническое обслуживание и ремонт противопожарных занавесов и завес, включая диспетчеризацию и проведение пусконаладочных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8. </w:t>
      </w:r>
      <w:r>
        <w:rPr>
          <w:rStyle w:val="CharStyle7"/>
        </w:rPr>
        <w:t>Монтаж, техническое обслуживание и ремонт заполнений проемов в противопожарных преградах;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9. </w:t>
      </w:r>
      <w:r>
        <w:rPr>
          <w:rStyle w:val="CharStyle7"/>
        </w:rPr>
        <w:t>Выполнение работ по огнезащите материалов, изделий и конструкций;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10. </w:t>
      </w:r>
      <w:r>
        <w:rPr>
          <w:rStyle w:val="CharStyle7"/>
        </w:rPr>
        <w:t>Монтаж, техническое обслуживание и ремонт первичных средств пожаротушения.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соответствии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силу ч.5 ст.31 Закона о контрактной системе информация об установленных требованиях в соответствии с частями </w:t>
      </w:r>
      <w:r>
        <w:rPr>
          <w:rStyle w:val="CharStyle7"/>
          <w:lang w:val="en-US" w:eastAsia="en-US"/>
        </w:rPr>
        <w:t xml:space="preserve">1, 1.1, 2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Комиссией Управления установлено, что в извещении об осуществлении закупки Заказчиком в том числе установлено: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Требование к участникам закупок в соответствии с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Обязательным требованием является предоставление в составе заявки на участие в запросе котировок скан-копии действующей лицензии на выполнение следующих видов работ: </w:t>
      </w:r>
      <w:r>
        <w:rPr>
          <w:rStyle w:val="CharStyle7"/>
          <w:i/>
          <w:iCs/>
          <w:lang w:val="en-US" w:eastAsia="en-US"/>
        </w:rPr>
        <w:t xml:space="preserve">1.1) </w:t>
      </w:r>
      <w:r>
        <w:rPr>
          <w:rStyle w:val="CharStyle7"/>
          <w:i/>
          <w:iCs/>
        </w:rPr>
        <w:t xml:space="preserve">монтаж, техническое обслуживание и ремонт систем пожаротушения и их элементов, включая диспетчеризацию и проведение пусконаладочных работ; </w:t>
      </w:r>
      <w:r>
        <w:rPr>
          <w:rStyle w:val="CharStyle7"/>
          <w:i/>
          <w:iCs/>
          <w:lang w:val="en-US" w:eastAsia="en-US"/>
        </w:rPr>
        <w:t xml:space="preserve">1.2) </w:t>
      </w:r>
      <w:r>
        <w:rPr>
          <w:rStyle w:val="CharStyle7"/>
          <w:i/>
          <w:iCs/>
        </w:rPr>
        <w:t xml:space="preserve"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 </w:t>
      </w:r>
      <w:r>
        <w:rPr>
          <w:rStyle w:val="CharStyle7"/>
          <w:i/>
          <w:iCs/>
          <w:lang w:val="en-US" w:eastAsia="en-US"/>
        </w:rPr>
        <w:t xml:space="preserve">1.3) </w:t>
      </w:r>
      <w:r>
        <w:rPr>
          <w:rStyle w:val="CharStyle7"/>
          <w:i/>
          <w:iCs/>
        </w:rPr>
        <w:t xml:space="preserve">монтаж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работ; </w:t>
      </w:r>
      <w:r>
        <w:rPr>
          <w:rStyle w:val="CharStyle7"/>
          <w:i/>
          <w:iCs/>
          <w:lang w:val="en-US" w:eastAsia="en-US"/>
        </w:rPr>
        <w:t xml:space="preserve">1.4) </w:t>
      </w:r>
      <w:r>
        <w:rPr>
          <w:rStyle w:val="CharStyle7"/>
          <w:i/>
          <w:iCs/>
        </w:rPr>
        <w:t xml:space="preserve"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работ; </w:t>
      </w:r>
      <w:r>
        <w:rPr>
          <w:rStyle w:val="CharStyle7"/>
          <w:i/>
          <w:iCs/>
          <w:lang w:val="en-US" w:eastAsia="en-US"/>
        </w:rPr>
        <w:t xml:space="preserve">1.5) </w:t>
      </w:r>
      <w:r>
        <w:rPr>
          <w:rStyle w:val="CharStyle7"/>
          <w:i/>
          <w:iCs/>
        </w:rPr>
        <w:t xml:space="preserve">отсутствие специалиста (техника) на объекте более одного рабочего дня влечет направление претензии в адрес исполнителя со стороны заказчика, а неоднократное отсутствие (более трех раз в месяц), является основанием для расторжения контракта. </w:t>
      </w:r>
      <w:r>
        <w:rPr>
          <w:rStyle w:val="CharStyle7"/>
          <w:i/>
          <w:iCs/>
          <w:lang w:val="en-US" w:eastAsia="en-US"/>
        </w:rPr>
        <w:t xml:space="preserve">2) </w:t>
      </w:r>
      <w:r>
        <w:rPr>
          <w:rStyle w:val="CharStyle7"/>
          <w:i/>
          <w:iCs/>
        </w:rPr>
        <w:t xml:space="preserve">отсутствие у участника закупки ограничений для участия в закупках, установленных законодательством Российской Федерации; </w:t>
      </w:r>
      <w:r>
        <w:rPr>
          <w:rStyle w:val="CharStyle7"/>
          <w:i/>
          <w:iCs/>
          <w:lang w:val="en-US" w:eastAsia="en-US"/>
        </w:rPr>
        <w:t xml:space="preserve">3) </w:t>
      </w:r>
      <w:r>
        <w:rPr>
          <w:rStyle w:val="CharStyle7"/>
          <w:i/>
          <w:iCs/>
        </w:rPr>
        <w:t xml:space="preserve">участник закупки не является юридическим или физическим лицом, в отношении которого применяются специальные экономические меры, предусмотренные пп. "а"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Указа Президента Российской Федерации </w:t>
      </w:r>
      <w:r>
        <w:rPr>
          <w:rStyle w:val="CharStyle7"/>
          <w:i/>
          <w:iCs/>
          <w:lang w:val="en-US" w:eastAsia="en-US"/>
        </w:rPr>
        <w:t xml:space="preserve">N 252 </w:t>
      </w:r>
      <w:r>
        <w:rPr>
          <w:rStyle w:val="CharStyle7"/>
          <w:i/>
          <w:iCs/>
        </w:rPr>
        <w:t xml:space="preserve">от </w:t>
      </w:r>
      <w:r>
        <w:rPr>
          <w:rStyle w:val="CharStyle7"/>
          <w:i/>
          <w:iCs/>
          <w:lang w:val="en-US" w:eastAsia="en-US"/>
        </w:rPr>
        <w:t xml:space="preserve">03.05.2022 </w:t>
      </w:r>
      <w:r>
        <w:rPr>
          <w:rStyle w:val="CharStyle7"/>
          <w:i/>
          <w:iCs/>
        </w:rPr>
        <w:t xml:space="preserve">года, либо являться организацией, находящейся под контролем таких лиц; </w:t>
      </w:r>
      <w:r>
        <w:rPr>
          <w:rStyle w:val="CharStyle7"/>
          <w:i/>
          <w:iCs/>
          <w:lang w:val="en-US" w:eastAsia="en-US"/>
        </w:rPr>
        <w:t xml:space="preserve">4) </w:t>
      </w:r>
      <w:r>
        <w:rPr>
          <w:rStyle w:val="CharStyle7"/>
          <w:i/>
          <w:iCs/>
        </w:rPr>
        <w:t>участник закупки не является иностранным агентом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В соответствии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предметом закупки является комплекс услуг по обеспечению пожарной безопасности, включающий техническое обслуживание систем пожарной автоматики, противопожарного водоснабжения, оповещения и эвакуации. Заказчиком в извещении установлено требование о наличии у участников лицензии МЧС России на выполнение работ по монтажу, техническому обслуживанию и ремонту указанных систем пожаротушения и сигнализации.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1" w:right="540" w:bottom="842" w:left="1089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отношении технического обслуживания первичных средств пожаротушения отдельное лицензионное требование не установлено, поскольку данный вид работ не является самостоятельным объектом закупки, а входит в состав общего комплекса услуг. В соответствии с правовой позицией Минфина России, если в один объект закупки включены работы, требующие лицензии, и работы, не требующие таковой, установление требования о наличии лицензии на все работы неправомерно ограничивает конкуренцию. Исполнитель вправе привлечь к выполнению лицензируемых работ субподрядчика, имеющего соответствующую лицензию.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Объём работ по обслуживанию огнетушителей является незначительным, а включение дополнительного лицензионного требования привело бы к необоснованному ограничению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Комиссия Управления отмечает, что положениями извещения, описания объекта закупки предусмотрены работы по техническому обслуживанию первичных средств пожаротушения в связи с чем Заказчику надлежало установить в извещении, описании объекта закупки соответствующие требования, о наличии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в том числе с указанием вида лицензируемой деятельности монтаж, техническое обслуживание и ремонт первичных средств пожаротушения, к участнику закупки, исполнителю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 xml:space="preserve">Аналогичная позиция отражена в решении Арбитражного суда г. Москвы от </w:t>
      </w:r>
      <w:r>
        <w:rPr>
          <w:rStyle w:val="CharStyle7"/>
          <w:lang w:val="en-US" w:eastAsia="en-US"/>
        </w:rPr>
        <w:t xml:space="preserve">23.04.2025 </w:t>
      </w:r>
      <w:r>
        <w:rPr>
          <w:rStyle w:val="CharStyle7"/>
        </w:rPr>
        <w:t xml:space="preserve">по делу А40-288809/2024 (оставлено без изменений постановлением Девятого арбитражного апелляционного суда от </w:t>
      </w:r>
      <w:r>
        <w:rPr>
          <w:rStyle w:val="CharStyle7"/>
          <w:lang w:val="en-US" w:eastAsia="en-US"/>
        </w:rPr>
        <w:t>19.09.2025).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п.1 ч.1, ч.5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Согласно описанию объекта закупки Заказчиком установлено требование к участникам закупки,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  <w:i/>
          <w:iCs/>
          <w:lang w:val="en-US" w:eastAsia="en-US"/>
        </w:rPr>
        <w:t xml:space="preserve">«1.5) </w:t>
      </w:r>
      <w:r>
        <w:rPr>
          <w:rStyle w:val="CharStyle7"/>
          <w:i/>
          <w:iCs/>
        </w:rPr>
        <w:t>отсутствие специалиста (техника) на объекте более одного рабочего дня влечет направление претензии в адрес исполнителя со стороны заказчика, а неоднократное отсутствие (более трех раз в месяц), является основанием для расторжения контракта».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В то же время Комиссия Управления отмечает, что данное требование не является по своей сути требованием к участникам закупки о наличии у них специальной правоспособности.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В силу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была допущена техническая ошибка при формировании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7"/>
        </w:rPr>
        <w:t>Комиссия Управления отмечает, что указанное положение не является требованием к участникам закупки. Данное условие относится к порядку исполнения контракта и регулирует ответственность исполнителя за ненадлежащее оказание услуг, а не устанавливает квалификационные, лицензионные или иные обязательные требования к участнику закупки на этапе подачи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4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341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Таким образом, на основании имеющихся документов и сведений, Комиссия Управления приходит к выводу о нарушении Заказчиком положений ч.6 ст.31 Закона о контрактной системе при формировании описания объекта закупки, что </w:t>
      </w:r>
      <w:r>
        <w:rPr>
          <w:rStyle w:val="CharStyle7"/>
          <w:sz w:val="24"/>
          <w:szCs w:val="24"/>
          <w:lang w:val="en-US" w:eastAsia="en-US"/>
        </w:rPr>
        <w:t>2026-23365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8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rStyle w:val="CharStyle7"/>
        </w:rPr>
        <w:t>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</w:t>
        <w:tab/>
        <w:t>ст.7.30.1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7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жалобу ИП Федорова В.Г. на действия Библиотека иностранной литературы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в действиях Заказчика нарушение п.1 ч.1, ч.5 ст.31, п.12 ч.1 ст.42, ч.6 ст.31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Выдать Заказчику, комиссии Заказчика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280" w:line="254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06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26.pt;width:145.20000000000002pt;height:19.900000000000002pt;z-index:-125829373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6255" simplePos="0" relativeHeight="125829382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394335</wp:posOffset>
            </wp:positionV>
            <wp:extent cx="359410" cy="40830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38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3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26.pt;width:102.95pt;height:19.900000000000002pt;z-index:-125829370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80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06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10335260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2026-23365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813.8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2026-23365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3152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2026-23365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804.5pt;width:57.6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2026-23365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10335260</wp:posOffset>
              </wp:positionV>
              <wp:extent cx="72263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2026-23365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813.80000000000007pt;width:56.899999999999999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2026-23365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469265</wp:posOffset>
              </wp:positionV>
              <wp:extent cx="7620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pt;margin-top:36.950000000000003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6.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469265</wp:posOffset>
              </wp:positionV>
              <wp:extent cx="7620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6.950000000000003pt;width:6.pt;height:5.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."/>
    </w:lvl>
    <w:lvl w:ilvl="1">
      <w:start w:val="2"/>
      <w:numFmt w:val="decimal"/>
      <w:lvlText w:val="%1.%2."/>
    </w:lvl>
    <w:lvl w:ilvl="2">
      <w:start w:val="5"/>
      <w:numFmt w:val="decimal"/>
      <w:lvlText w:val="%1.%2.%3."/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