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819785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8.05.2026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20929/26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49999999999997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8.05.2026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20929/26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704215</wp:posOffset>
                </wp:positionH>
                <wp:positionV relativeFrom="paragraph">
                  <wp:posOffset>4358640</wp:posOffset>
                </wp:positionV>
                <wp:extent cx="1322705" cy="63119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631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lang w:val="en-US" w:eastAsia="en-US"/>
                              </w:rPr>
                              <w:t>13.05.2026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Комиссия по г. Москве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450000000000003pt;margin-top:343.19999999999999pt;width:104.15000000000001pt;height:49.700000000000003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lang w:val="en-US" w:eastAsia="en-US"/>
                        </w:rPr>
                        <w:t>13.05.2026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left"/>
                      </w:pPr>
                      <w:r>
                        <w:rPr>
                          <w:rStyle w:val="CharStyle7"/>
                        </w:rPr>
                        <w:t>Комиссия по г. Москве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ГККУ г. Москвы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ЦОДД Правительства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Москвы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fldChar w:fldCharType="begin"/>
      </w:r>
      <w:r>
        <w:rPr/>
        <w:instrText> HYPERLINK "mailto:placing@transport.mos.ru" </w:instrText>
      </w:r>
      <w:r>
        <w:fldChar w:fldCharType="separate"/>
      </w:r>
      <w:r>
        <w:rPr>
          <w:rStyle w:val="CharStyle7"/>
          <w:lang w:val="en-US" w:eastAsia="en-US"/>
        </w:rPr>
        <w:t>placing@transport.mos.ru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firstLine="40"/>
        <w:jc w:val="both"/>
      </w:pPr>
      <w:r>
        <w:rPr>
          <w:rStyle w:val="CharStyle7"/>
        </w:rPr>
        <w:t>Департамент г. Москвы по конкурентной политике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700" w:right="0" w:firstLine="40"/>
        <w:jc w:val="both"/>
      </w:pPr>
      <w:r>
        <w:fldChar w:fldCharType="begin"/>
      </w:r>
      <w:r>
        <w:rPr/>
        <w:instrText> HYPERLINK "mailto:mostender@mos.ru" </w:instrText>
      </w:r>
      <w:r>
        <w:fldChar w:fldCharType="separate"/>
      </w:r>
      <w:r>
        <w:rPr>
          <w:rStyle w:val="CharStyle7"/>
          <w:lang w:val="en-US" w:eastAsia="en-US"/>
        </w:rPr>
        <w:t>mostender@mos.ru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firstLine="40"/>
        <w:jc w:val="both"/>
      </w:pPr>
      <w:r>
        <w:rPr>
          <w:rStyle w:val="CharStyle7"/>
        </w:rPr>
        <w:t>ООО «ИНТЕРМОБИЛИТИ»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0" w:line="240" w:lineRule="auto"/>
        <w:ind w:left="700" w:right="0" w:firstLine="40"/>
        <w:jc w:val="both"/>
      </w:pPr>
      <w:r>
        <w:fldChar w:fldCharType="begin"/>
      </w:r>
      <w:r>
        <w:rPr/>
        <w:instrText> HYPERLINK "mailto:tender@intermobility.ru" </w:instrText>
      </w:r>
      <w:r>
        <w:fldChar w:fldCharType="separate"/>
      </w:r>
      <w:r>
        <w:rPr>
          <w:rStyle w:val="CharStyle7"/>
          <w:lang w:val="en-US" w:eastAsia="en-US"/>
        </w:rPr>
        <w:t>tender@intermobility.ru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077/06/105-6023/2026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Управления Федеральной антимонопольной службы по контролю в сфере закупок товаров, работ, услуг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специалиста эксперта отдела о бжалования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hanging="700"/>
        <w:jc w:val="both"/>
      </w:pPr>
      <w:r>
        <w:rPr>
          <w:rStyle w:val="CharStyle7"/>
        </w:rPr>
        <w:t>государственных закупок Е.Д. Мартьяновой, 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ГККУ г. Москвы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ЦОДД Правительства Москвы: А.А. Сотниковой (по доверенности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ДТЗ </w:t>
      </w:r>
      <w:r>
        <w:rPr>
          <w:rStyle w:val="CharStyle7"/>
          <w:lang w:val="en-US" w:eastAsia="en-US"/>
        </w:rPr>
        <w:t xml:space="preserve">04-01-01-79/25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09.12.2025);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120"/>
        <w:jc w:val="both"/>
      </w:pPr>
      <w:r>
        <w:rPr>
          <w:rStyle w:val="CharStyle7"/>
        </w:rPr>
        <w:t xml:space="preserve">Департамент г. Москвы по конкурентной политике: А.А. Арзуманян (по доверенности </w:t>
      </w:r>
      <w:r>
        <w:rPr>
          <w:rStyle w:val="CharStyle7"/>
          <w:lang w:val="en-US" w:eastAsia="en-US"/>
        </w:rPr>
        <w:t xml:space="preserve">№ 77-13-1/26-3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12.01.2026), </w:t>
      </w:r>
      <w:r>
        <w:rPr>
          <w:rStyle w:val="CharStyle7"/>
        </w:rPr>
        <w:t xml:space="preserve">П.В. Полубоярцева (по доверенности </w:t>
      </w:r>
      <w:r>
        <w:rPr>
          <w:rStyle w:val="CharStyle7"/>
          <w:lang w:val="en-US" w:eastAsia="en-US"/>
        </w:rPr>
        <w:t xml:space="preserve">№ 77-13-1/26-12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13.01.2026);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ООО «ИНТЕРМОБИЛИТИ»: М.В. Бургасовой (по доверенности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015-ИМ от </w:t>
      </w:r>
      <w:r>
        <w:rPr>
          <w:rStyle w:val="CharStyle7"/>
          <w:lang w:val="en-US" w:eastAsia="en-US"/>
        </w:rPr>
        <w:t xml:space="preserve">10.11.2025), </w:t>
      </w:r>
      <w:r>
        <w:rPr>
          <w:rStyle w:val="CharStyle7"/>
        </w:rPr>
        <w:t xml:space="preserve">М.Ю. Косаурихиной (по доверенности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016-ИМ от </w:t>
      </w:r>
      <w:r>
        <w:rPr>
          <w:rStyle w:val="CharStyle7"/>
          <w:lang w:val="en-US" w:eastAsia="en-US"/>
        </w:rPr>
        <w:t>10.11.2025);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drawing>
          <wp:anchor distT="76200" distB="0" distL="114300" distR="114300" simplePos="0" relativeHeight="125829383" behindDoc="0" locked="0" layoutInCell="1" allowOverlap="1">
            <wp:simplePos x="0" y="0"/>
            <wp:positionH relativeFrom="page">
              <wp:posOffset>716280</wp:posOffset>
            </wp:positionH>
            <wp:positionV relativeFrom="margin">
              <wp:posOffset>9089390</wp:posOffset>
            </wp:positionV>
            <wp:extent cx="1511935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рассмотрев жалобу ООО «ИНТЕРМОБИЛИТИ»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Заявитель) на действия ГККУ г. Москвы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ЦОДД Правительства Москвы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Заказчик) при проведении открытого конкурса в электронной форме на право заключения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0"/>
        <w:jc w:val="both"/>
      </w:pPr>
      <w:r>
        <w:rPr>
          <w:rStyle w:val="CharStyle7"/>
        </w:rPr>
        <w:t xml:space="preserve">государственного контракта на оказание услуг по сопровождению автоматизированной системы фотовидеофиксации нарушений правил дорожного движения интеллектуальной транспортной системы города Москвы в течение </w:t>
      </w:r>
      <w:r>
        <w:rPr>
          <w:rStyle w:val="CharStyle7"/>
          <w:lang w:val="en-US" w:eastAsia="en-US"/>
        </w:rPr>
        <w:t xml:space="preserve">790 </w:t>
      </w:r>
      <w:r>
        <w:rPr>
          <w:rStyle w:val="CharStyle7"/>
        </w:rPr>
        <w:t xml:space="preserve">календарных дней (Закупка№ </w:t>
      </w:r>
      <w:r>
        <w:rPr>
          <w:rStyle w:val="CharStyle7"/>
          <w:lang w:val="en-US" w:eastAsia="en-US"/>
        </w:rPr>
        <w:t xml:space="preserve">0173200001426000597)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конкурс),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комиссии Заказчика при проведении вышеуказанного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 составе жалобы Заявитель указывает, что комиссией Заказчика неправомерно оценена заявка Заявителя по детализирующему показателю «Количество специалистов и иных работников, соответствующих перечню специальностей (направлений подготовки), выделенных в условную группу «ИСиР»» показателя оценки «Наличие у участников закупки специалистов и иных работников определенного уровня квалификации»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При этом в обоснование своей позиции Заявитель указывает, что Заявителем в составе заявки на участие в конкурсе были предоставлены квалификационные требования трудовых ресурсов (руководителей и ключевых специалистов), предлагаемых для выполнения работ, приложениями к которым были предоставлены следующие документы: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копии сертификатов, дипломов, аттестатов, удостоверений;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52" w:lineRule="auto"/>
        <w:ind w:left="0" w:right="0" w:firstLine="700"/>
        <w:jc w:val="both"/>
      </w:pPr>
      <w:r>
        <w:rPr>
          <w:rStyle w:val="CharStyle7"/>
        </w:rPr>
        <w:t>копии договоров с сотрудниками;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52" w:lineRule="auto"/>
        <w:ind w:left="0" w:right="0" w:firstLine="700"/>
        <w:jc w:val="both"/>
      </w:pPr>
      <w:r>
        <w:rPr>
          <w:rStyle w:val="CharStyle7"/>
        </w:rPr>
        <w:t>копии трудовых книжек;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справки СТД-Р о сведении трудовой деятельности.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Сводные сведения о кадровых ресурсах содержат данные о тридцати сотрудниках, которые полностью соответствуют п.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Приложения в порядка рассмотрения и оценки заявок на участие в конкурсе Постановления Правительства Российской Федерации от </w:t>
      </w:r>
      <w:r>
        <w:rPr>
          <w:rStyle w:val="CharStyle7"/>
          <w:lang w:val="en-US" w:eastAsia="en-US"/>
        </w:rPr>
        <w:t xml:space="preserve">31.12.2021 № 2604, </w:t>
      </w:r>
      <w:r>
        <w:rPr>
          <w:rStyle w:val="CharStyle7"/>
        </w:rPr>
        <w:t xml:space="preserve">при этом комиссия Заказчика неправомерно не приняла к оценке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(трех) специалистов.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52" w:lineRule="auto"/>
        <w:ind w:left="0" w:right="0" w:firstLine="56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9" w:bottom="1119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В соответствии с ч.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 xml:space="preserve">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и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32 </w:t>
      </w:r>
      <w:r>
        <w:rPr>
          <w:rStyle w:val="CharStyle7"/>
        </w:rPr>
        <w:t>Закона о контрактной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системе критериями оценки этих заявок, окончательных предложений.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>Таким образом, предмет жалоб о присвоении результатов оценки по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не относится к компетенции Комиссии Управления, и обжаловать такие результаты оценки заявок возможно исключительно в судебном порядке.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>Вместе с тем Комиссией Управления проводится проверка действий комиссий по осуществлению закупок Заказчика в части применения установленного в извещении порядка оценки заявок на участие в конкурсе.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 xml:space="preserve">Согласно п.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42 </w:t>
      </w:r>
      <w:r>
        <w:rPr>
          <w:rStyle w:val="CharStyle7"/>
        </w:rPr>
        <w:t>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 xml:space="preserve">В силу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 xml:space="preserve">Закона о контрактной системе заявка на участие в закупке состоит из трех частей, при этом вторая часть должна содержать информацию и документы, предусмотренные пп. 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«р» п. </w:t>
      </w:r>
      <w:r>
        <w:rPr>
          <w:rStyle w:val="CharStyle7"/>
          <w:lang w:val="en-US" w:eastAsia="en-US"/>
        </w:rPr>
        <w:t xml:space="preserve">1, </w:t>
      </w:r>
      <w:r>
        <w:rPr>
          <w:rStyle w:val="CharStyle7"/>
        </w:rPr>
        <w:t xml:space="preserve">пп. «в» п. </w:t>
      </w:r>
      <w:r>
        <w:rPr>
          <w:rStyle w:val="CharStyle7"/>
          <w:lang w:val="en-US" w:eastAsia="en-US"/>
        </w:rPr>
        <w:t xml:space="preserve">2, </w:t>
      </w:r>
      <w:r>
        <w:rPr>
          <w:rStyle w:val="CharStyle7"/>
        </w:rPr>
        <w:t xml:space="preserve">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 xml:space="preserve">Согласно пп. «р»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 заявка на участие в закупке может содержать документы, подтверждающие квалификацию участника закупки. Отсутствие таких документов не является основанием для признания заявки не соответствующей требованиям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0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7"/>
        </w:rPr>
        <w:t>ст.32 Закона о контрактной системе установлено, что для оценки заявок участников закупки заказчик использует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цена контракта, сумма цен единиц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44" w:left="1101" w:header="0" w:footer="216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Комиссией Управления установлено, что согласно извещению объектом закупки является «Оказание услуг по сопровождению автоматизированной системы фотовидеофиксации нарушений правил дорожного движения интеллектуальной </w:t>
      </w:r>
      <w:r>
        <w:rPr>
          <w:rStyle w:val="CharStyle7"/>
          <w:sz w:val="24"/>
          <w:szCs w:val="24"/>
          <w:lang w:val="en-US" w:eastAsia="en-US"/>
        </w:rPr>
        <w:t>2026-24226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7"/>
        </w:rPr>
        <w:t xml:space="preserve">транспортной системы города Москвы в течение </w:t>
      </w:r>
      <w:r>
        <w:rPr>
          <w:rStyle w:val="CharStyle7"/>
          <w:lang w:val="en-US" w:eastAsia="en-US"/>
        </w:rPr>
        <w:t xml:space="preserve">790 </w:t>
      </w:r>
      <w:r>
        <w:rPr>
          <w:rStyle w:val="CharStyle7"/>
        </w:rPr>
        <w:t>календарных дней».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Согласно п.4 ч.2 ст.42 Закона о контрактной системе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Согласно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ч.1 ст.32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Абз.1 п.1 Постановления Правительства РФ от </w:t>
      </w:r>
      <w:r>
        <w:rPr>
          <w:rStyle w:val="CharStyle7"/>
          <w:lang w:val="en-US" w:eastAsia="en-US"/>
        </w:rPr>
        <w:t xml:space="preserve">31.12.2021 № 2604 </w:t>
      </w:r>
      <w:r>
        <w:rPr>
          <w:rStyle w:val="CharStyle7"/>
        </w:rPr>
        <w:t xml:space="preserve">«Об оценке заявок на участие в закупке товаров, работ, услуг для обеспечения государственных и муниципальных нужд, внесении изменений в пункт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постановления Правительства Российской Федерации от </w:t>
      </w:r>
      <w:r>
        <w:rPr>
          <w:rStyle w:val="CharStyle7"/>
          <w:lang w:val="en-US" w:eastAsia="en-US"/>
        </w:rPr>
        <w:t xml:space="preserve">20 </w:t>
      </w:r>
      <w:r>
        <w:rPr>
          <w:rStyle w:val="CharStyle7"/>
        </w:rPr>
        <w:t xml:space="preserve">декабря </w:t>
      </w:r>
      <w:r>
        <w:rPr>
          <w:rStyle w:val="CharStyle7"/>
          <w:lang w:val="en-US" w:eastAsia="en-US"/>
        </w:rPr>
        <w:t xml:space="preserve">2021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2369 </w:t>
      </w:r>
      <w:r>
        <w:rPr>
          <w:rStyle w:val="CharStyle7"/>
        </w:rPr>
        <w:t xml:space="preserve">и признании утратившими силу некоторых актов и отдельных положений некоторых актов Правительства Российской Федерации»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№2604) </w:t>
      </w:r>
      <w:r>
        <w:rPr>
          <w:rStyle w:val="CharStyle7"/>
        </w:rPr>
        <w:t xml:space="preserve">утверждено Положение об оценке заявок на участие в закупке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Согласно абз.1 п.2 Положения «оценка заявок»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2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2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2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 силу п.25 Положения для оценки заявок по показателям оценки, предусмотренным п.24 Положения, применяются детализирующие показатели.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П.30 Положения в случае применения показателя оценки, указанного в пп.«д» п.24 Положения порядком оценки устанавливаются: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перечень специалистов и иных работников, их квалификация, оцениваемые по показателю, предусмотренному подпунктом «д» пункта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настоящего Положения, и необходимые для поставки товара, выполнения работ, оказания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rStyle w:val="CharStyle7"/>
        </w:rPr>
        <w:t>услуг, являющихся объектом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7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перечень следующих информации (в том числе данных) и документов, подтверждающих квалификацию участника закупки, наличие специалистов и иных работников, их квалификацию, предусмотренные перечнем, установленным в соответствии с подпунктом «а» настоящего пункта: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 xml:space="preserve">трудовая книжка или сведения о трудовой деятельности, предусмотренные статьей </w:t>
      </w:r>
      <w:r>
        <w:rPr>
          <w:rStyle w:val="CharStyle7"/>
          <w:lang w:val="en-US" w:eastAsia="en-US"/>
        </w:rPr>
        <w:t xml:space="preserve">66.1 </w:t>
      </w:r>
      <w:r>
        <w:rPr>
          <w:rStyle w:val="CharStyle7"/>
        </w:rPr>
        <w:t>Трудового кодекса Российской Федерации;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информация (в том числе данные), результаты применения информационных технологий и документы, подтверждающие квалификацию участника закупки, его специалистов и иных работников, в том числе предусмотренную в соответствии с профессиональными стандартами (если соответствующий профессиональный стандарт обязателен для применения работодателями в соответствии с законодательством Российской Федерации).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Комиссией Управления определено, что Заказчиком установлен, в том числе, следующий порядок оценки заявок по показателю оценки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квалификации», детализирующего показателя оценки: «Количество специалистов и иных работников, соответствующих перечню специальностей (направлений подготовки), выделенных в условную группу «ИСиР»»: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«Оценка заявок по критерию оценки «Квалификация участников закупки, характеристика квалификации участников закупки» осуществляется в порядке, установленном пунктами </w:t>
      </w:r>
      <w:r>
        <w:rPr>
          <w:rStyle w:val="CharStyle7"/>
          <w:i/>
          <w:iCs/>
          <w:lang w:val="en-US" w:eastAsia="en-US"/>
        </w:rPr>
        <w:t xml:space="preserve">20 - 23 </w:t>
      </w:r>
      <w:r>
        <w:rPr>
          <w:rStyle w:val="CharStyle7"/>
          <w:i/>
          <w:iCs/>
        </w:rPr>
        <w:t xml:space="preserve">раздела </w:t>
      </w:r>
      <w:r>
        <w:rPr>
          <w:rStyle w:val="CharStyle7"/>
          <w:i/>
          <w:iCs/>
          <w:lang w:val="en-US" w:eastAsia="en-US"/>
        </w:rPr>
        <w:t xml:space="preserve">IV </w:t>
      </w:r>
      <w:r>
        <w:rPr>
          <w:rStyle w:val="CharStyle7"/>
          <w:i/>
          <w:iCs/>
        </w:rPr>
        <w:t>Положения для оценки заявок по критерию оценки «Характеристики объекта закупки».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  <w:i/>
          <w:iCs/>
        </w:rPr>
        <w:t>Лучшим для заказчика является наибольшее значение квалификации участника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 w:line="252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Значение количества баллов по детализирующему показателю, присваиваемых заявке, подлежащей оценке по критерию оценки "Квалификация участников закупки, характеристика квалификации участников закупки </w:t>
      </w:r>
      <w:r>
        <w:rPr>
          <w:rStyle w:val="CharStyle7"/>
          <w:i/>
          <w:iCs/>
          <w:lang w:val="en-US" w:eastAsia="en-US"/>
        </w:rPr>
        <w:t xml:space="preserve">" (БХi), </w:t>
      </w:r>
      <w:r>
        <w:rPr>
          <w:rStyle w:val="CharStyle7"/>
          <w:i/>
          <w:iCs/>
        </w:rPr>
        <w:t>рассчитывается по формуле: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096895" cy="536575"/>
            <wp:docPr id="17" name="Picut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096895" cy="5365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1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76" w:lineRule="auto"/>
        <w:ind w:left="0" w:right="0" w:firstLine="0"/>
        <w:jc w:val="both"/>
      </w:pPr>
      <w:r>
        <w:rPr>
          <w:rStyle w:val="CharStyle7"/>
          <w:i/>
          <w:iCs/>
        </w:rPr>
        <w:t>где: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 w:line="276" w:lineRule="auto"/>
        <w:ind w:left="0" w:right="0"/>
        <w:jc w:val="both"/>
      </w:pPr>
      <w:r>
        <w:rPr>
          <w:rStyle w:val="CharStyle7"/>
          <w:b/>
          <w:bCs/>
          <w:i/>
          <w:iCs/>
          <w:lang w:val="en-US" w:eastAsia="en-US"/>
        </w:rPr>
        <w:t>Х</w:t>
      </w:r>
      <w:r>
        <w:rPr>
          <w:rStyle w:val="CharStyle7"/>
          <w:b/>
          <w:bCs/>
          <w:i/>
          <w:iCs/>
          <w:sz w:val="16"/>
          <w:szCs w:val="16"/>
          <w:lang w:val="en-US" w:eastAsia="en-US"/>
        </w:rPr>
        <w:t xml:space="preserve">max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максимальное значение предложений участников по данному показателю, содержащееся в заявках (частях заявок), подлежащих оценке в соответствии с Федеральным законом;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460"/>
        <w:jc w:val="both"/>
      </w:pPr>
      <w:r>
        <w:rPr>
          <w:rStyle w:val="CharStyle7"/>
          <w:b/>
          <w:bCs/>
          <w:i/>
          <w:iCs/>
          <w:lang w:val="en-US" w:eastAsia="en-US"/>
        </w:rPr>
        <w:t>Х</w:t>
      </w:r>
      <w:r>
        <w:rPr>
          <w:rStyle w:val="CharStyle7"/>
          <w:b/>
          <w:bCs/>
          <w:i/>
          <w:iCs/>
          <w:sz w:val="16"/>
          <w:szCs w:val="16"/>
          <w:lang w:val="en-US" w:eastAsia="en-US"/>
        </w:rPr>
        <w:t xml:space="preserve">i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значение, содержащееся в предложении участника закупки по данному показателю, заявка (часть заявки) которого подлежит оценке в соответствии с Федеральным законом;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  <w:b/>
          <w:bCs/>
          <w:i/>
          <w:iCs/>
          <w:lang w:val="en-US" w:eastAsia="en-US"/>
        </w:rPr>
        <w:t>Х</w:t>
      </w:r>
      <w:r>
        <w:rPr>
          <w:rStyle w:val="CharStyle7"/>
          <w:b/>
          <w:bCs/>
          <w:i/>
          <w:iCs/>
          <w:sz w:val="16"/>
          <w:szCs w:val="16"/>
          <w:lang w:val="en-US" w:eastAsia="en-US"/>
        </w:rPr>
        <w:t xml:space="preserve">min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минимальное значение предложений участников по данному показателю, содержащееся в заявках (частях заявок), подлежащих оценке в соответствии с Федеральным законом.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  <w:i/>
          <w:iCs/>
          <w:lang w:val="en-US" w:eastAsia="en-US"/>
        </w:rPr>
        <w:t>...</w:t>
      </w:r>
      <w:r>
        <w:rPr>
          <w:rStyle w:val="CharStyle7"/>
          <w:b/>
          <w:bCs/>
          <w:i/>
          <w:iCs/>
        </w:rPr>
        <w:t>Положение о применении показателей оценки, детализирующих показатель оценки «Наличие у участников закупки специалистов и иных работников определенного уровня квалификации: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1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  <w:b/>
          <w:bCs/>
          <w:i/>
          <w:iCs/>
        </w:rPr>
        <w:t>Применяемые детализирующие показатели оценки.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460"/>
        <w:jc w:val="both"/>
      </w:pPr>
      <w:r>
        <w:rPr>
          <w:rStyle w:val="CharStyle7"/>
          <w:i/>
          <w:iCs/>
        </w:rPr>
        <w:t xml:space="preserve">По показателю «Наличие у участников закупки специалистов и иных работников определенного уровня квалификации» оценивается количество специалистов и иных работников, прошедших обучение или профессиональную переподготовку по одному или нескольким направлениям подготовки среднего профессионального образования либо высшего образования (бакалавриата, магистратуры либо специалитета) и соответствующих детализирующим показателям оценки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перечням специальностей (направлений подготовки), выделенных в условные групппы: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01" w:val="left"/>
        </w:tabs>
        <w:bidi w:val="0"/>
        <w:spacing w:before="0" w:after="0" w:line="276" w:lineRule="auto"/>
        <w:ind w:left="0" w:right="0"/>
        <w:jc w:val="both"/>
      </w:pPr>
      <w:r>
        <w:rPr>
          <w:rStyle w:val="CharStyle7"/>
          <w:i/>
          <w:iCs/>
        </w:rPr>
        <w:t>Информационные технологии (</w:t>
      </w:r>
      <w:r>
        <w:rPr>
          <w:rStyle w:val="CharStyle7"/>
          <w:b/>
          <w:bCs/>
          <w:i/>
          <w:iCs/>
        </w:rPr>
        <w:t>ИТ</w:t>
      </w:r>
      <w:r>
        <w:rPr>
          <w:rStyle w:val="CharStyle7"/>
          <w:i/>
          <w:iCs/>
        </w:rPr>
        <w:t>);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01" w:val="left"/>
        </w:tabs>
        <w:bidi w:val="0"/>
        <w:spacing w:before="0" w:after="0" w:line="276" w:lineRule="auto"/>
        <w:ind w:left="0" w:right="0"/>
        <w:jc w:val="both"/>
      </w:pPr>
      <w:r>
        <w:rPr>
          <w:rStyle w:val="CharStyle7"/>
          <w:i/>
          <w:iCs/>
        </w:rPr>
        <w:t>Информационная безопасность (</w:t>
      </w:r>
      <w:r>
        <w:rPr>
          <w:rStyle w:val="CharStyle7"/>
          <w:b/>
          <w:bCs/>
          <w:i/>
          <w:iCs/>
        </w:rPr>
        <w:t>ИБ</w:t>
      </w:r>
      <w:r>
        <w:rPr>
          <w:rStyle w:val="CharStyle7"/>
          <w:i/>
          <w:iCs/>
        </w:rPr>
        <w:t>);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01" w:val="left"/>
        </w:tabs>
        <w:bidi w:val="0"/>
        <w:spacing w:before="0" w:after="0" w:line="276" w:lineRule="auto"/>
        <w:ind w:left="0" w:right="0"/>
        <w:jc w:val="both"/>
      </w:pPr>
      <w:r>
        <w:rPr>
          <w:rStyle w:val="CharStyle7"/>
          <w:i/>
          <w:iCs/>
        </w:rPr>
        <w:t>Информационные системы и ресурсы (</w:t>
      </w:r>
      <w:r>
        <w:rPr>
          <w:rStyle w:val="CharStyle7"/>
          <w:b/>
          <w:bCs/>
          <w:i/>
          <w:iCs/>
        </w:rPr>
        <w:t>ИсиР</w:t>
      </w:r>
      <w:r>
        <w:rPr>
          <w:rStyle w:val="CharStyle7"/>
          <w:i/>
          <w:iCs/>
        </w:rPr>
        <w:t>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460"/>
        <w:jc w:val="both"/>
      </w:pPr>
      <w:r>
        <w:rPr>
          <w:rStyle w:val="CharStyle7"/>
          <w:i/>
          <w:iCs/>
        </w:rPr>
        <w:t>Каждая условная группа включает в себя перечень наименований специальностей (направлений подготовки) для формирования которых использованы Общероссийские классификаторы специальностей по образованию, перечни специальностей среднего профессионального образования и направлений подготовки высшего профессионального образования. Документы об образовании специалистов участника по специальностям (направлениям подготовки) из перечней условных групп могут быть представлены участником в качестве документов, подтверждающих квалификацию таких специалистов.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76" w:lineRule="auto"/>
        <w:ind w:left="0" w:right="0" w:firstLine="0"/>
        <w:jc w:val="both"/>
      </w:pPr>
      <w:r>
        <w:rPr>
          <w:rStyle w:val="CharStyle7"/>
          <w:i/>
          <w:iCs/>
        </w:rPr>
        <w:t>Перечень специальностей (направлений подготовки), выделенных в условную группу «</w:t>
      </w:r>
      <w:r>
        <w:rPr>
          <w:rStyle w:val="CharStyle7"/>
          <w:b/>
          <w:bCs/>
          <w:i/>
          <w:iCs/>
        </w:rPr>
        <w:t>ИСиР</w:t>
      </w:r>
      <w:r>
        <w:rPr>
          <w:rStyle w:val="CharStyle7"/>
          <w:i/>
          <w:iCs/>
        </w:rPr>
        <w:t>»: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01" w:val="left"/>
        </w:tabs>
        <w:bidi w:val="0"/>
        <w:spacing w:before="0" w:after="0" w:line="276" w:lineRule="auto"/>
        <w:ind w:left="0" w:right="0"/>
        <w:jc w:val="both"/>
      </w:pPr>
      <w:r>
        <w:rPr>
          <w:rStyle w:val="CharStyle7"/>
          <w:i/>
          <w:iCs/>
        </w:rPr>
        <w:t>Компьютерные сети;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01" w:val="left"/>
        </w:tabs>
        <w:bidi w:val="0"/>
        <w:spacing w:before="0" w:after="0" w:line="276" w:lineRule="auto"/>
        <w:ind w:left="0" w:right="0"/>
        <w:jc w:val="both"/>
      </w:pPr>
      <w:r>
        <w:rPr>
          <w:rStyle w:val="CharStyle7"/>
          <w:i/>
          <w:iCs/>
        </w:rPr>
        <w:t>Вычислительные машины, комплексы, системы и сети;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01" w:val="left"/>
        </w:tabs>
        <w:bidi w:val="0"/>
        <w:spacing w:before="0" w:after="0" w:line="276" w:lineRule="auto"/>
        <w:ind w:left="0" w:right="0"/>
        <w:jc w:val="both"/>
      </w:pPr>
      <w:r>
        <w:rPr>
          <w:rStyle w:val="CharStyle7"/>
          <w:i/>
          <w:iCs/>
        </w:rPr>
        <w:t>Математическое обеспечение и администрирование информационных систем;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18" w:val="left"/>
        </w:tabs>
        <w:bidi w:val="0"/>
        <w:spacing w:before="0" w:after="0" w:line="276" w:lineRule="auto"/>
        <w:ind w:left="0" w:right="0" w:firstLine="460"/>
        <w:jc w:val="both"/>
      </w:pPr>
      <w:r>
        <w:rPr>
          <w:rStyle w:val="CharStyle7"/>
          <w:i/>
          <w:iCs/>
        </w:rPr>
        <w:t>Программное обеспечение вычислительной техники и автоматизированных систем;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01" w:val="left"/>
        </w:tabs>
        <w:bidi w:val="0"/>
        <w:spacing w:before="0" w:after="0" w:line="276" w:lineRule="auto"/>
        <w:ind w:left="0" w:right="0"/>
        <w:jc w:val="both"/>
      </w:pPr>
      <w:r>
        <w:rPr>
          <w:rStyle w:val="CharStyle7"/>
          <w:i/>
          <w:iCs/>
        </w:rPr>
        <w:t>Сетевое и системное администрирование.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11" w:val="left"/>
        </w:tabs>
        <w:bidi w:val="0"/>
        <w:spacing w:before="0" w:after="0" w:line="276" w:lineRule="auto"/>
        <w:ind w:left="0" w:right="0"/>
        <w:jc w:val="both"/>
      </w:pPr>
      <w:r>
        <w:rPr>
          <w:rStyle w:val="CharStyle7"/>
          <w:b/>
          <w:bCs/>
          <w:i/>
          <w:iCs/>
        </w:rPr>
        <w:t>Порядок подачи предложения по данным детализирующим показателям.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76" w:lineRule="auto"/>
        <w:ind w:left="0" w:right="0"/>
        <w:jc w:val="both"/>
      </w:pPr>
      <w:r>
        <w:rPr>
          <w:rStyle w:val="CharStyle7"/>
          <w:i/>
          <w:iCs/>
        </w:rPr>
        <w:t>Участником (в случае наличия в его организации таких специалистов) 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7"/>
          <w:i/>
          <w:iCs/>
        </w:rPr>
        <w:t xml:space="preserve">качестве предложения по данному показателю в составе второй части заявки предоставляется в рекомендуемой форме </w:t>
      </w:r>
      <w:r>
        <w:rPr>
          <w:rStyle w:val="CharStyle7"/>
          <w:b/>
          <w:bCs/>
          <w:i/>
          <w:iCs/>
        </w:rPr>
        <w:t>«</w:t>
      </w:r>
      <w:r>
        <w:rPr>
          <w:rStyle w:val="CharStyle7"/>
          <w:i/>
          <w:iCs/>
        </w:rPr>
        <w:t xml:space="preserve">Сводные сведения о наличии у участников закупки специалистов и иных работников определенного уровня квалификации» приведена в Приложении </w:t>
      </w:r>
      <w:r>
        <w:rPr>
          <w:rStyle w:val="CharStyle7"/>
          <w:i/>
          <w:iCs/>
          <w:lang w:val="en-US" w:eastAsia="en-US"/>
        </w:rPr>
        <w:t xml:space="preserve">№2 </w:t>
      </w:r>
      <w:r>
        <w:rPr>
          <w:rStyle w:val="CharStyle7"/>
          <w:i/>
          <w:iCs/>
        </w:rPr>
        <w:t>к настоящим критериям оценки заявок участников закупки. Содержащий реестр таких специалистов с указанием ФИО каждого специалиста, их специальностей (направлений подготовки) в соответствии с информацией в документах об образовании, наименования условной группы (детализирующего показателя), наименования документов об образовании, копии которых представлены в заявке в качестве подтверждения их квалификации, а также наименования документов, копии которых представлены в заявке в качестве подтверждения того, что они являются сотрудниками организации участника.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480"/>
        <w:jc w:val="both"/>
      </w:pPr>
      <w:r>
        <w:rPr>
          <w:rStyle w:val="CharStyle7"/>
          <w:i/>
          <w:iCs/>
        </w:rPr>
        <w:t>При этом представленные документы должны быть в виде неповторяющихся, полно читаемых копий, на которых видны необходимые сведения, подписи и печати.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31" w:val="left"/>
        </w:tabs>
        <w:bidi w:val="0"/>
        <w:spacing w:before="0" w:after="0" w:line="276" w:lineRule="auto"/>
        <w:ind w:left="0" w:right="0" w:firstLine="480"/>
        <w:jc w:val="both"/>
      </w:pPr>
      <w:r>
        <w:rPr>
          <w:rStyle w:val="CharStyle7"/>
          <w:b/>
          <w:bCs/>
          <w:i/>
          <w:iCs/>
        </w:rPr>
        <w:t>Порядок предоставления подтверждающих документов.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480"/>
        <w:jc w:val="both"/>
      </w:pPr>
      <w:r>
        <w:rPr>
          <w:rStyle w:val="CharStyle7"/>
          <w:i/>
          <w:iCs/>
        </w:rPr>
        <w:t>В качестве подтверждения наличия у участника закупки специалистов и иных работников определенного уровня квалификации и прохождения ими обучения по направлениям подготовки из перечней детализирующих показателей по каждому представленному в Сводных сведениях специалисту участником представляются следующие документы: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58" w:val="left"/>
        </w:tabs>
        <w:bidi w:val="0"/>
        <w:spacing w:before="0" w:after="0" w:line="276" w:lineRule="auto"/>
        <w:ind w:left="0" w:right="0" w:firstLine="480"/>
        <w:jc w:val="both"/>
      </w:pPr>
      <w:r>
        <w:rPr>
          <w:rStyle w:val="CharStyle7"/>
          <w:i/>
          <w:iCs/>
        </w:rPr>
        <w:t xml:space="preserve">трудовая книжка или сведения о трудовой деятельности, предусмотренные статьей </w:t>
      </w:r>
      <w:r>
        <w:rPr>
          <w:rStyle w:val="CharStyle7"/>
          <w:i/>
          <w:iCs/>
          <w:lang w:val="en-US" w:eastAsia="en-US"/>
        </w:rPr>
        <w:t xml:space="preserve">66.1 </w:t>
      </w:r>
      <w:r>
        <w:rPr>
          <w:rStyle w:val="CharStyle7"/>
          <w:i/>
          <w:iCs/>
        </w:rPr>
        <w:t>Трудового кодекса Российской Федерации;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68" w:val="left"/>
        </w:tabs>
        <w:bidi w:val="0"/>
        <w:spacing w:before="0" w:after="0" w:line="276" w:lineRule="auto"/>
        <w:ind w:left="0" w:right="0" w:firstLine="480"/>
        <w:jc w:val="both"/>
      </w:pPr>
      <w:r>
        <w:rPr>
          <w:rStyle w:val="CharStyle7"/>
          <w:i/>
          <w:iCs/>
        </w:rPr>
        <w:t>информация (в том числе данные), результаты применения информационных технологий и документы, подтверждающие квалификацию участника закупки, его специалистов и иных работников, в том числе предусмотренную в соответствии с профессиональными стандартами (если соответствующий профессиональный стандарт обязателен для применения работодателями в соответствии с законодательством Российской Федерации).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480"/>
        <w:jc w:val="both"/>
      </w:pPr>
      <w:r>
        <w:rPr>
          <w:rStyle w:val="CharStyle7"/>
          <w:i/>
          <w:iCs/>
        </w:rPr>
        <w:t xml:space="preserve">В случае наличия разночтения в представленных документах в связи с изменением фамилии специалиста при заключении брака либо перемены фамилии, имени или отчества по иным причинам дополнительно представляются соответствующие свидетельства, предусмотренные положениями Федерального закона от </w:t>
      </w:r>
      <w:r>
        <w:rPr>
          <w:rStyle w:val="CharStyle7"/>
          <w:i/>
          <w:iCs/>
          <w:lang w:val="en-US" w:eastAsia="en-US"/>
        </w:rPr>
        <w:t xml:space="preserve">15 </w:t>
      </w:r>
      <w:r>
        <w:rPr>
          <w:rStyle w:val="CharStyle7"/>
          <w:i/>
          <w:iCs/>
        </w:rPr>
        <w:t xml:space="preserve">ноября </w:t>
      </w:r>
      <w:r>
        <w:rPr>
          <w:rStyle w:val="CharStyle7"/>
          <w:i/>
          <w:iCs/>
          <w:lang w:val="en-US" w:eastAsia="en-US"/>
        </w:rPr>
        <w:t xml:space="preserve">1997 </w:t>
      </w:r>
      <w:r>
        <w:rPr>
          <w:rStyle w:val="CharStyle7"/>
          <w:i/>
          <w:iCs/>
        </w:rPr>
        <w:t xml:space="preserve">года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143-ФЗ «Об актах гражданского состояния», подтверждающих такие изменения. Допускается предоставление реквизитов таких свидетельств в случае, если они указаны в документах, предусмотренных настоящим положением и подтверждающих то, что указанный специалист является сотрудником организации участника.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480"/>
        <w:jc w:val="both"/>
      </w:pPr>
      <w:r>
        <w:rPr>
          <w:rStyle w:val="CharStyle7"/>
          <w:i/>
          <w:iCs/>
        </w:rPr>
        <w:t>Указанные в данном пункте документы предоставляются участником в форме электронных документов или в форме электронных образов бумажных документов.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480"/>
        <w:jc w:val="both"/>
      </w:pPr>
      <w:r>
        <w:rPr>
          <w:rStyle w:val="CharStyle7"/>
          <w:i/>
          <w:iCs/>
        </w:rPr>
        <w:t>При этом документы, представленные в форме электронных образов бумажных документов, должны быть в виде неповторяющихся, полночитаемых копий, на которых видны все необходимые сведения, подписи и печати. При предоставлении документов на иностранном языке такие документы должны сопровождаться построчным переводом на русский язык.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33" w:val="left"/>
        </w:tabs>
        <w:bidi w:val="0"/>
        <w:spacing w:before="0" w:after="0" w:line="276" w:lineRule="auto"/>
        <w:ind w:left="0" w:right="0" w:firstLine="480"/>
        <w:jc w:val="both"/>
      </w:pPr>
      <w:r>
        <w:rPr>
          <w:rStyle w:val="CharStyle7"/>
          <w:b/>
          <w:bCs/>
          <w:i/>
          <w:iCs/>
        </w:rPr>
        <w:t>Порядок начисления баллов.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480"/>
        <w:jc w:val="both"/>
      </w:pPr>
      <w:r>
        <w:rPr>
          <w:rStyle w:val="CharStyle7"/>
          <w:i/>
          <w:iCs/>
        </w:rPr>
        <w:t xml:space="preserve">Количество баллов, присуждаемых по данным детализирующим показателям, определяется по соответствующим формулам, указанным в разделе </w:t>
      </w:r>
      <w:r>
        <w:rPr>
          <w:rStyle w:val="CharStyle7"/>
          <w:i/>
          <w:iCs/>
          <w:lang w:val="en-US" w:eastAsia="en-US"/>
        </w:rPr>
        <w:t xml:space="preserve">II </w:t>
      </w:r>
      <w:r>
        <w:rPr>
          <w:rStyle w:val="CharStyle7"/>
          <w:i/>
          <w:iCs/>
        </w:rPr>
        <w:t>Порядка рассмотрения и оценки заявок на участие в конкурсе, где: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</w:pPr>
      <w:r>
        <w:rPr>
          <w:rStyle w:val="CharStyle7"/>
          <w:b/>
          <w:bCs/>
          <w:i/>
          <w:iCs/>
          <w:lang w:val="en-US" w:eastAsia="en-US"/>
        </w:rPr>
        <w:t>Х</w:t>
      </w:r>
      <w:r>
        <w:rPr>
          <w:rStyle w:val="CharStyle7"/>
          <w:b/>
          <w:bCs/>
          <w:i/>
          <w:iCs/>
          <w:sz w:val="16"/>
          <w:szCs w:val="16"/>
          <w:lang w:val="en-US" w:eastAsia="en-US"/>
        </w:rPr>
        <w:t xml:space="preserve">max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максимальное значение предложений участников по данному детализирующему показателю, содержащееся в заявках (частях заявок), подлежащих оценке в соответствии с Федеральным законом;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</w:pPr>
      <w:r>
        <w:rPr>
          <w:rStyle w:val="CharStyle7"/>
          <w:b/>
          <w:bCs/>
          <w:i/>
          <w:iCs/>
          <w:lang w:val="en-US" w:eastAsia="en-US"/>
        </w:rPr>
        <w:t>Х</w:t>
      </w:r>
      <w:r>
        <w:rPr>
          <w:rStyle w:val="CharStyle7"/>
          <w:b/>
          <w:bCs/>
          <w:i/>
          <w:iCs/>
          <w:sz w:val="16"/>
          <w:szCs w:val="16"/>
          <w:lang w:val="en-US" w:eastAsia="en-US"/>
        </w:rPr>
        <w:t xml:space="preserve">i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значение, содержащееся в предложении участника закупки по данному детализирующему показателю, заявка (часть заявки) которого подлежит оценке в соответствии с Федеральным законом;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</w:pPr>
      <w:r>
        <w:rPr>
          <w:rStyle w:val="CharStyle7"/>
          <w:b/>
          <w:bCs/>
          <w:i/>
          <w:iCs/>
          <w:lang w:val="en-US" w:eastAsia="en-US"/>
        </w:rPr>
        <w:t>Х</w:t>
      </w:r>
      <w:r>
        <w:rPr>
          <w:rStyle w:val="CharStyle7"/>
          <w:b/>
          <w:bCs/>
          <w:i/>
          <w:iCs/>
          <w:sz w:val="16"/>
          <w:szCs w:val="16"/>
          <w:lang w:val="en-US" w:eastAsia="en-US"/>
        </w:rPr>
        <w:t xml:space="preserve">min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>минимальное значение предложений участников по данному детализирующему показателю, содержащееся в заявках (частях заявок), подлежащих оценке в соответствии с Федеральным законом.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60"/>
        <w:jc w:val="both"/>
      </w:pPr>
      <w:r>
        <w:rPr>
          <w:rStyle w:val="CharStyle7"/>
          <w:i/>
          <w:iCs/>
        </w:rPr>
        <w:t xml:space="preserve">Заявка участника, содержащая Сводные сведения с предложением наибольшего количества специалистов, соответствующих специальностям (направлениям подготовки), приведенным в перечне соответствующего детализирующего показателя, и информация о которых подтверждена документально, оценивается максимальным количеством баллов с учетом значимости этого показателя. Значимость каждого детализирующего показателя указана в разделе </w:t>
      </w:r>
      <w:r>
        <w:rPr>
          <w:rStyle w:val="CharStyle7"/>
          <w:i/>
          <w:iCs/>
          <w:lang w:val="en-US" w:eastAsia="en-US"/>
        </w:rPr>
        <w:t xml:space="preserve">II </w:t>
      </w:r>
      <w:r>
        <w:rPr>
          <w:rStyle w:val="CharStyle7"/>
          <w:i/>
          <w:iCs/>
        </w:rPr>
        <w:t>Порядка рассмотрения и оценки заявок на участие в конкурсе.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480"/>
        <w:jc w:val="both"/>
      </w:pPr>
      <w:r>
        <w:rPr>
          <w:rStyle w:val="CharStyle7"/>
          <w:i/>
          <w:iCs/>
        </w:rPr>
        <w:t xml:space="preserve">При определении значений предложений участников </w:t>
      </w:r>
      <w:r>
        <w:rPr>
          <w:rStyle w:val="CharStyle7"/>
          <w:i/>
          <w:iCs/>
          <w:lang w:val="en-US" w:eastAsia="en-US"/>
        </w:rPr>
        <w:t>(</w:t>
      </w:r>
      <w:r>
        <w:rPr>
          <w:rStyle w:val="CharStyle7"/>
          <w:b/>
          <w:bCs/>
          <w:i/>
          <w:iCs/>
          <w:lang w:val="en-US" w:eastAsia="en-US"/>
        </w:rPr>
        <w:t>Х</w:t>
      </w:r>
      <w:r>
        <w:rPr>
          <w:rStyle w:val="CharStyle7"/>
          <w:b/>
          <w:bCs/>
          <w:i/>
          <w:iCs/>
          <w:sz w:val="16"/>
          <w:szCs w:val="16"/>
          <w:lang w:val="en-US" w:eastAsia="en-US"/>
        </w:rPr>
        <w:t>i</w:t>
      </w:r>
      <w:r>
        <w:rPr>
          <w:rStyle w:val="CharStyle7"/>
          <w:b/>
          <w:bCs/>
          <w:i/>
          <w:iCs/>
          <w:lang w:val="en-US" w:eastAsia="en-US"/>
        </w:rPr>
        <w:t>, Х</w:t>
      </w:r>
      <w:r>
        <w:rPr>
          <w:rStyle w:val="CharStyle7"/>
          <w:b/>
          <w:bCs/>
          <w:i/>
          <w:iCs/>
          <w:sz w:val="16"/>
          <w:szCs w:val="16"/>
          <w:lang w:val="en-US" w:eastAsia="en-US"/>
        </w:rPr>
        <w:t>max</w:t>
      </w:r>
      <w:r>
        <w:rPr>
          <w:rStyle w:val="CharStyle7"/>
          <w:b/>
          <w:bCs/>
          <w:i/>
          <w:iCs/>
          <w:lang w:val="en-US" w:eastAsia="en-US"/>
        </w:rPr>
        <w:t>, Х</w:t>
      </w:r>
      <w:r>
        <w:rPr>
          <w:rStyle w:val="CharStyle7"/>
          <w:b/>
          <w:bCs/>
          <w:i/>
          <w:iCs/>
          <w:sz w:val="16"/>
          <w:szCs w:val="16"/>
          <w:lang w:val="en-US" w:eastAsia="en-US"/>
        </w:rPr>
        <w:t>min</w:t>
      </w:r>
      <w:r>
        <w:rPr>
          <w:rStyle w:val="CharStyle7"/>
          <w:i/>
          <w:iCs/>
          <w:lang w:val="en-US" w:eastAsia="en-US"/>
        </w:rPr>
        <w:t xml:space="preserve">) </w:t>
      </w:r>
      <w:r>
        <w:rPr>
          <w:rStyle w:val="CharStyle7"/>
          <w:b/>
          <w:bCs/>
          <w:i/>
          <w:iCs/>
        </w:rPr>
        <w:t xml:space="preserve">по каждому детализирующему показателю </w:t>
      </w:r>
      <w:r>
        <w:rPr>
          <w:rStyle w:val="CharStyle7"/>
          <w:i/>
          <w:iCs/>
        </w:rPr>
        <w:t xml:space="preserve">учитывается фактическое количество специалистов с подтвержденной квалификацией, которое не зависит от количества имеющихся у каждого такого специалиста специальностей, </w:t>
      </w:r>
      <w:r>
        <w:rPr>
          <w:rStyle w:val="CharStyle7"/>
          <w:b/>
          <w:bCs/>
          <w:i/>
          <w:iCs/>
        </w:rPr>
        <w:t xml:space="preserve">входящих в один и тот же перечень </w:t>
      </w:r>
      <w:r>
        <w:rPr>
          <w:rStyle w:val="CharStyle7"/>
          <w:i/>
          <w:iCs/>
        </w:rPr>
        <w:t>детализирующего показателя.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0" w:name="bookmark0"/>
      <w:r>
        <w:rPr>
          <w:rStyle w:val="CharStyle18"/>
          <w:i/>
          <w:iCs/>
        </w:rPr>
        <w:t>Непредоставление в составе второй части заявки на участие в конкурсе таких документов не является основанием для отказа в допуске к участию в открытом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второй части заявки на участие в конкурсе</w:t>
      </w:r>
      <w:r>
        <w:rPr>
          <w:rStyle w:val="CharStyle18"/>
        </w:rPr>
        <w:t>».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Порядком рассмотрения и оценки заявок на участие в конкурсе по критерию «Квалификация участников закупки» (значимость </w:t>
      </w:r>
      <w:r>
        <w:rPr>
          <w:rStyle w:val="CharStyle7"/>
          <w:lang w:val="en-US" w:eastAsia="en-US"/>
        </w:rPr>
        <w:t xml:space="preserve">50%) </w:t>
      </w:r>
      <w:r>
        <w:rPr>
          <w:rStyle w:val="CharStyle7"/>
        </w:rPr>
        <w:t xml:space="preserve">установлены детализирующие показатели «Количество специалистов» согласно которым оценивается наличии у участника закупки специалистов, выделенных в условные группы «ИТ» (значимость </w:t>
      </w:r>
      <w:r>
        <w:rPr>
          <w:rStyle w:val="CharStyle7"/>
          <w:lang w:val="en-US" w:eastAsia="en-US"/>
        </w:rPr>
        <w:t xml:space="preserve">45%), </w:t>
      </w:r>
      <w:r>
        <w:rPr>
          <w:rStyle w:val="CharStyle7"/>
        </w:rPr>
        <w:t xml:space="preserve">«ИБ» (значимость </w:t>
      </w:r>
      <w:r>
        <w:rPr>
          <w:rStyle w:val="CharStyle7"/>
          <w:lang w:val="en-US" w:eastAsia="en-US"/>
        </w:rPr>
        <w:t xml:space="preserve">10%), </w:t>
      </w:r>
      <w:r>
        <w:rPr>
          <w:rStyle w:val="CharStyle7"/>
        </w:rPr>
        <w:t xml:space="preserve">«ИСиР» (значимость </w:t>
      </w:r>
      <w:r>
        <w:rPr>
          <w:rStyle w:val="CharStyle7"/>
          <w:lang w:val="en-US" w:eastAsia="en-US"/>
        </w:rPr>
        <w:t>45%).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>Приложением «В» Порядка рассмотрения и оценки заявок установлены требования к подтверждающим документам: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0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 xml:space="preserve">трудовая книжка или сведения о трудовой деятельности, предусмотренные ст. </w:t>
      </w:r>
      <w:r>
        <w:rPr>
          <w:rStyle w:val="CharStyle7"/>
          <w:lang w:val="en-US" w:eastAsia="en-US"/>
        </w:rPr>
        <w:t xml:space="preserve">66.1 </w:t>
      </w:r>
      <w:r>
        <w:rPr>
          <w:rStyle w:val="CharStyle7"/>
        </w:rPr>
        <w:t>ТК РФ;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892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>информация, подтверждающая квалификацию специалистов;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 xml:space="preserve">в случае наличия разночтения в представленных документах в связи с изменением фамилии специалиста представляются соответствующие свидетельства, предусмотренные Законом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>143-ФЗ. Допускается предоставление реквизитов таких свидетельств в случае, если они указаны в документах, предусмотренных Порядком рассмотрения и оценки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>Комиссией к оценке были приняты только те документы и сведения, которые позволяют подтвердить информацию, подтверждающую квалификацию и трудовую деятельность специалиста, а также соответствие требованиям, установленным Порядком рассмотрения и оценки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 xml:space="preserve">Согласно протоколу рассмотрения и оценки вторых частей заявок от </w:t>
      </w:r>
      <w:r>
        <w:rPr>
          <w:rStyle w:val="CharStyle7"/>
          <w:lang w:val="en-US" w:eastAsia="en-US"/>
        </w:rPr>
        <w:t xml:space="preserve">05.05.2026 </w:t>
      </w:r>
      <w:r>
        <w:rPr>
          <w:rStyle w:val="CharStyle7"/>
        </w:rPr>
        <w:t>по критерию «Наличие у участников закупки специалистов и иных работников определенного уровня квалификации»: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 xml:space="preserve">заявке </w:t>
      </w:r>
      <w:r>
        <w:rPr>
          <w:rStyle w:val="CharStyle7"/>
          <w:lang w:val="en-US" w:eastAsia="en-US"/>
        </w:rPr>
        <w:t xml:space="preserve">№ 3141669 </w:t>
      </w:r>
      <w:r>
        <w:rPr>
          <w:rStyle w:val="CharStyle7"/>
        </w:rPr>
        <w:t xml:space="preserve">(Заявитель) присвоено </w:t>
      </w:r>
      <w:r>
        <w:rPr>
          <w:rStyle w:val="CharStyle7"/>
          <w:lang w:val="en-US" w:eastAsia="en-US"/>
        </w:rPr>
        <w:t xml:space="preserve">27,5 </w:t>
      </w:r>
      <w:r>
        <w:rPr>
          <w:rStyle w:val="CharStyle7"/>
        </w:rPr>
        <w:t>баллов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 xml:space="preserve">заявке </w:t>
      </w:r>
      <w:r>
        <w:rPr>
          <w:rStyle w:val="CharStyle7"/>
          <w:lang w:val="en-US" w:eastAsia="en-US"/>
        </w:rPr>
        <w:t xml:space="preserve">№ 3150590 </w:t>
      </w:r>
      <w:r>
        <w:rPr>
          <w:rStyle w:val="CharStyle7"/>
        </w:rPr>
        <w:t xml:space="preserve">(победитель) </w:t>
      </w:r>
      <w:r>
        <w:rPr>
          <w:rStyle w:val="CharStyle7"/>
          <w:lang w:val="en-US" w:eastAsia="en-US"/>
        </w:rPr>
        <w:t xml:space="preserve">- 45 </w:t>
      </w:r>
      <w:r>
        <w:rPr>
          <w:rStyle w:val="CharStyle7"/>
        </w:rPr>
        <w:t>баллов.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 xml:space="preserve">Так, в заявке Заявителя, согласно сводному сведению о наличии квалифицированных специалистов по детализирующему показателю «Количество специалистов и иных работников, соответствующих перечню специальностей (направлений подготовки), выделенных в условную группу «ИСиР» представлены сведения о </w:t>
      </w:r>
      <w:r>
        <w:rPr>
          <w:rStyle w:val="CharStyle7"/>
          <w:lang w:val="en-US" w:eastAsia="en-US"/>
        </w:rPr>
        <w:t xml:space="preserve">35 </w:t>
      </w:r>
      <w:r>
        <w:rPr>
          <w:rStyle w:val="CharStyle7"/>
        </w:rPr>
        <w:t xml:space="preserve">специалистах. Из них Комиссией не принято к учету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специалистов. Относительно не принятых к учету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(трех) специалистов, оспариваемых Заявителем, представитель Заказчика пояснил, что данные сотрудники не были приняты на основании следующего: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>Туркина Т.А., не представлены документы об изменении фамилии, требование о представлении которых установлено в Порядке рассмотрения и оценки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 xml:space="preserve">Пунктом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Приложения «В» Порядка рассмотрения и оценки заявок установлено: «В случае наличия разночтения в представленных документах в связи с изменением фамилии специалиста при заключении брака либо перемены фамилии, имени или отчества по иным причинам дополнительно представляются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соответствующие свидетельства, предусмотренные положениями Федерального закона от </w:t>
      </w:r>
      <w:r>
        <w:rPr>
          <w:rStyle w:val="CharStyle7"/>
          <w:lang w:val="en-US" w:eastAsia="en-US"/>
        </w:rPr>
        <w:t xml:space="preserve">15 </w:t>
      </w:r>
      <w:r>
        <w:rPr>
          <w:rStyle w:val="CharStyle7"/>
        </w:rPr>
        <w:t xml:space="preserve">ноября </w:t>
      </w:r>
      <w:r>
        <w:rPr>
          <w:rStyle w:val="CharStyle7"/>
          <w:lang w:val="en-US" w:eastAsia="en-US"/>
        </w:rPr>
        <w:t xml:space="preserve">1997 </w:t>
      </w:r>
      <w:r>
        <w:rPr>
          <w:rStyle w:val="CharStyle7"/>
        </w:rPr>
        <w:t xml:space="preserve">года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>143-ФЗ «Об актах гражданского состояния», подтверждающих такие изменения. Допускается предоставление реквизитов таких свидетельств в случае, если они указаны в документах, предусмотренных настоящим положением и подтверждающих то, что указанный специалист является сотрудником организации участника».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 xml:space="preserve">Согласно ст. </w:t>
      </w:r>
      <w:r>
        <w:rPr>
          <w:rStyle w:val="CharStyle7"/>
          <w:lang w:val="en-US" w:eastAsia="en-US"/>
        </w:rPr>
        <w:t xml:space="preserve">29 </w:t>
      </w:r>
      <w:r>
        <w:rPr>
          <w:rStyle w:val="CharStyle7"/>
        </w:rPr>
        <w:t xml:space="preserve">Закона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>143-ФЗ «Об актах гражданского состояния» реквизитами записи акта о заключении брака являются: наименование органа записи актов гражданского состояния, которым произведена государственная регистрация заключения брака, дата составления и номер.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 xml:space="preserve">Вместе с тем, разделом </w:t>
      </w:r>
      <w:r>
        <w:rPr>
          <w:rStyle w:val="CharStyle7"/>
          <w:lang w:val="en-US" w:eastAsia="en-US"/>
        </w:rPr>
        <w:t xml:space="preserve">II, </w:t>
      </w:r>
      <w:r>
        <w:rPr>
          <w:rStyle w:val="CharStyle7"/>
        </w:rPr>
        <w:t xml:space="preserve">п.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 xml:space="preserve">Приказа Минтруда России от </w:t>
      </w:r>
      <w:r>
        <w:rPr>
          <w:rStyle w:val="CharStyle7"/>
          <w:lang w:val="en-US" w:eastAsia="en-US"/>
        </w:rPr>
        <w:t xml:space="preserve">19.05.2021 № </w:t>
      </w:r>
      <w:r>
        <w:rPr>
          <w:rStyle w:val="CharStyle7"/>
        </w:rPr>
        <w:t>320н «Об утверждении формы, порядка ведения и хранения трудовых книжек» предусмотрено что изменения записей в трудовых книжках о фамилии, имени, отчестве и дате рождения производятся на основании свидетельства о регистрации брака с ссылкой на их номер, дату и орган, выдавший документ.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>В представленной Заявителем информации (скан-копия трудовой книжки) не содержится информации о наименовании органа записи актов гражданского состояния. Таким образом, документ, подтверждающий смену фамилии специалиста, в составе заявки отсутствует.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22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>Дель Б.В., представлена скан-копия диплома о среднем профессиональном образовании, не соответствующая Порядку рассмотрения и оценки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 xml:space="preserve">Пунктом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Приложения «В» Порядка рассмотрения и оценки заявок установлено требование к подтверждающим документам «полно читаемые копии, на которых видны необходимые сведения, подписи и печати».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 xml:space="preserve">В соответствии с п. </w:t>
      </w:r>
      <w:r>
        <w:rPr>
          <w:rStyle w:val="CharStyle7"/>
          <w:lang w:val="en-US" w:eastAsia="en-US"/>
        </w:rPr>
        <w:t xml:space="preserve">10 </w:t>
      </w:r>
      <w:r>
        <w:rPr>
          <w:rStyle w:val="CharStyle7"/>
        </w:rPr>
        <w:t xml:space="preserve">приказа Минобрнауки от </w:t>
      </w:r>
      <w:r>
        <w:rPr>
          <w:rStyle w:val="CharStyle7"/>
          <w:lang w:val="en-US" w:eastAsia="en-US"/>
        </w:rPr>
        <w:t>25.10.2013 № 1186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>«Об утверждении Порядка заполнения, учета и выдачи дипломов о среднем профессиональном образовании и их дубликатов» диплом и приложение к нему подписываются руководителем организации, на дипломе и приложении к нему проставляется печать организации на отведенном для нее месте.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>В представленной Заявителем скан-копии диплома не содержится подпись и печать образовательного учреждения. Таким образом, документ об образовании специалиста не соответствует Порядку рассмотрения и оценки заявок, специалист не учтен к оценке.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22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>Гороховцев Т.С., в представленных документах имеются разночтения относительно трудовой деятельности специалиста.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66.1 </w:t>
      </w:r>
      <w:r>
        <w:rPr>
          <w:rStyle w:val="CharStyle7"/>
        </w:rPr>
        <w:t>ТК РФ установлено что работодатель формирует в электронном виде основную информацию о трудовой деятельности и трудовом стаже каждого работника и представляет ее в порядке, установленном законодательством РФ об индивидуальном (персонифицированном) учете в системе обязательного пенсионного страхования, для хранения в информационных ресурсах Пенсионного фонда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 xml:space="preserve">Согласно п.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10 </w:t>
      </w:r>
      <w:r>
        <w:rPr>
          <w:rStyle w:val="CharStyle7"/>
        </w:rPr>
        <w:t xml:space="preserve">Порядка заполнения формы СТД-Р (приказ Минтруда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>713нп), в данной форме указываются сведения о трудовой деятельности работника (приеме, переводе, увольнении) у работодателя.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 xml:space="preserve">В соответствии с Письмом ФАС России от </w:t>
      </w:r>
      <w:r>
        <w:rPr>
          <w:rStyle w:val="CharStyle7"/>
          <w:lang w:val="en-US" w:eastAsia="en-US"/>
        </w:rPr>
        <w:t xml:space="preserve">07.02.2023 № </w:t>
      </w:r>
      <w:r>
        <w:rPr>
          <w:rStyle w:val="CharStyle7"/>
        </w:rPr>
        <w:t>ПИ/8371/23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«О рассмотрении обращения» в сведения о трудовой деятельности включаются информация о работнике, месте его работы, его трудовой функции, переводах работника на другую постоянную работу, об увольнении работника с указанием основания и причины прекращения трудового договора, другая предусмотренная ТК РФ, иным федеральным законом информация.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>Таким образом, сведения о трудовой деятельности, предоставляемые в качестве документов, подтверждающих наличие специалистов и иных работников, их квалификацию, должны соответствовать требованиям ТК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 xml:space="preserve">В сведениях о трудовой деятельности Гороховцева Т.С. в составе заявки представлена скан-копия трудовой книжки, согласно которой дата приема на работу </w:t>
      </w:r>
      <w:r>
        <w:rPr>
          <w:rStyle w:val="CharStyle7"/>
          <w:lang w:val="en-US" w:eastAsia="en-US"/>
        </w:rPr>
        <w:t xml:space="preserve">20.05.2022 </w:t>
      </w:r>
      <w:r>
        <w:rPr>
          <w:rStyle w:val="CharStyle7"/>
        </w:rPr>
        <w:t xml:space="preserve">и дата перевода </w:t>
      </w:r>
      <w:r>
        <w:rPr>
          <w:rStyle w:val="CharStyle7"/>
          <w:lang w:val="en-US" w:eastAsia="en-US"/>
        </w:rPr>
        <w:t>01.07.2022.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 xml:space="preserve">Согласно п.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Приложения В, файла Порядок рассмотрения и оценки заявок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второй части заявки на участие в конкурсе. Вместе с тем с учетом разночтений в представленных документах к оценке не приняты сведения о трудовой деятельности специалиста.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 xml:space="preserve">Так, на основании представленных документов и сведений, Комиссия Управления отмечает, что комиссией Заказчика правомерно не приняты сведения о трех специалистов, так как в отношении Туркиной Т.А. нет указание в ТК на орган, выдавший документ (свидетельство о браке), однако по п.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 xml:space="preserve">Приказа Минтруда России от </w:t>
      </w:r>
      <w:r>
        <w:rPr>
          <w:rStyle w:val="CharStyle7"/>
          <w:lang w:val="en-US" w:eastAsia="en-US"/>
        </w:rPr>
        <w:t xml:space="preserve">19.05.2021 № </w:t>
      </w:r>
      <w:r>
        <w:rPr>
          <w:rStyle w:val="CharStyle7"/>
        </w:rPr>
        <w:t xml:space="preserve">320н «Об утверждении формы, порядка ведения и хранения трудовых книжек» (Зарегистрировано в Минюсте России </w:t>
      </w:r>
      <w:r>
        <w:rPr>
          <w:rStyle w:val="CharStyle7"/>
          <w:lang w:val="en-US" w:eastAsia="en-US"/>
        </w:rPr>
        <w:t xml:space="preserve">01.06.2021 N 63748» </w:t>
      </w:r>
      <w:r>
        <w:rPr>
          <w:rStyle w:val="CharStyle7"/>
        </w:rPr>
        <w:t>изменения записей в трудовых книжках о фамилии, имени, отчестве и дате рождения производятся на основании паспорта, свидетельств о рождении, о регистрации брака, о расторжении брака, о перемене имени и других документов и со ссылкой на их номер, дату и орган, выдавший документ.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>Указанные изменения вносятся на первую страницу (титульный лист) трудовой книжки. Одной чертой зачеркивается прежняя фамилия или имя, отчество (при наличии), дата рождения и записываются новые данные. Ссылки на соответствующие документы делаются на внутренней стороне обложки трудовой книжки и заверяются подписью работодателя или специально уполномоченного им лица и печатью организации (или печатью кадровой службы) (при наличии печати).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7"/>
        </w:rPr>
        <w:t xml:space="preserve">Относительно специалиста Дель Б.В. в силу п. </w:t>
      </w:r>
      <w:r>
        <w:rPr>
          <w:rStyle w:val="CharStyle7"/>
          <w:lang w:val="en-US" w:eastAsia="en-US"/>
        </w:rPr>
        <w:t xml:space="preserve">10 </w:t>
      </w:r>
      <w:r>
        <w:rPr>
          <w:rStyle w:val="CharStyle7"/>
        </w:rPr>
        <w:t xml:space="preserve">Приказ Минпросвещения России от </w:t>
      </w:r>
      <w:r>
        <w:rPr>
          <w:rStyle w:val="CharStyle7"/>
          <w:lang w:val="en-US" w:eastAsia="en-US"/>
        </w:rPr>
        <w:t xml:space="preserve">14.10.2022 № 906 </w:t>
      </w:r>
      <w:r>
        <w:rPr>
          <w:rStyle w:val="CharStyle7"/>
        </w:rPr>
        <w:t xml:space="preserve">«Об утверждении Порядка заполнения, учета и выдачи дипломов о среднем профессиональном образовании и их дубликатов» (Зарегистрировано в Минюсте России </w:t>
      </w:r>
      <w:r>
        <w:rPr>
          <w:rStyle w:val="CharStyle7"/>
          <w:lang w:val="en-US" w:eastAsia="en-US"/>
        </w:rPr>
        <w:t xml:space="preserve">24.11.2022 N 71119) </w:t>
      </w:r>
      <w:r>
        <w:rPr>
          <w:rStyle w:val="CharStyle7"/>
        </w:rPr>
        <w:t xml:space="preserve">диплом и приложение к нему подписываются руководителем образовательной организации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руководитель) в строках, содержащих инициалы и фамилию руководителя. Диплом подписывается также председателем Государственной экзаменационной комиссии в строках, содержащих инициалы и фамилию председателя Государственной экзаменационной комиссии.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43" w:right="537" w:bottom="1085" w:left="1073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В отношении специалиста Гороховцев Т.С. имеются разночтения относительно даты приема на работу: в ТК и договоре </w:t>
      </w:r>
      <w:r>
        <w:rPr>
          <w:rStyle w:val="CharStyle7"/>
          <w:lang w:val="en-US" w:eastAsia="en-US"/>
        </w:rPr>
        <w:t xml:space="preserve">— 20.05.2022, </w:t>
      </w:r>
      <w:r>
        <w:rPr>
          <w:rStyle w:val="CharStyle7"/>
        </w:rPr>
        <w:t xml:space="preserve">при этом в СТД-Р указана дата трудоустройства </w:t>
      </w:r>
      <w:r>
        <w:rPr>
          <w:rStyle w:val="CharStyle7"/>
          <w:lang w:val="en-US" w:eastAsia="en-US"/>
        </w:rPr>
        <w:t>05.12.2025.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>На заседании Комиссии Управления представитель Заявителя согласился с пояснениями Заказчика относительно специалиста Дель Б.В. из-за отсутствия печати и подписи на дипломе, однако относительно иных двух специалистов представитель Заявителя пояснил, что, по мнению Заявителя, представленные документы в полной мере соответствуют требованиям порядка оценки.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 xml:space="preserve">В свою очередь, Комиссия Управления относительно сотрудника Туркина Т.А. отмечает, что согласно установленному порядку оценки в случае наличия разночтения в представленных документах в связи с изменением фамилии специалиста при заключении брака либо перемены фамилии, имени или отчества по иным причинам дополнительно представляются соответствующие свидетельства, предусмотренные положениями Федерального закона от </w:t>
      </w:r>
      <w:r>
        <w:rPr>
          <w:rStyle w:val="CharStyle7"/>
          <w:lang w:val="en-US" w:eastAsia="en-US"/>
        </w:rPr>
        <w:t xml:space="preserve">15 </w:t>
      </w:r>
      <w:r>
        <w:rPr>
          <w:rStyle w:val="CharStyle7"/>
        </w:rPr>
        <w:t xml:space="preserve">ноября </w:t>
      </w:r>
      <w:r>
        <w:rPr>
          <w:rStyle w:val="CharStyle7"/>
          <w:lang w:val="en-US" w:eastAsia="en-US"/>
        </w:rPr>
        <w:t xml:space="preserve">1997 </w:t>
      </w:r>
      <w:r>
        <w:rPr>
          <w:rStyle w:val="CharStyle7"/>
        </w:rPr>
        <w:t xml:space="preserve">года </w:t>
      </w:r>
      <w:r>
        <w:rPr>
          <w:rStyle w:val="CharStyle7"/>
          <w:lang w:val="en-US" w:eastAsia="en-US"/>
        </w:rPr>
        <w:t xml:space="preserve">№ 143- </w:t>
      </w:r>
      <w:r>
        <w:rPr>
          <w:rStyle w:val="CharStyle7"/>
        </w:rPr>
        <w:t>ФЗ «Об актах гражданского состояния», подтверждающих такие изменения. Допускается предоставление реквизитов таких свидетельств в случае, если они указаны в документах, предусмотренных настоящим положением и подтверждающих то, что указанный специалист является сотрудником организации участника.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 xml:space="preserve">Вместе с тем разделом </w:t>
      </w:r>
      <w:r>
        <w:rPr>
          <w:rStyle w:val="CharStyle7"/>
          <w:lang w:val="en-US" w:eastAsia="en-US"/>
        </w:rPr>
        <w:t xml:space="preserve">II, </w:t>
      </w:r>
      <w:r>
        <w:rPr>
          <w:rStyle w:val="CharStyle7"/>
        </w:rPr>
        <w:t xml:space="preserve">п.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 xml:space="preserve">Приказа Минтруда России от </w:t>
      </w:r>
      <w:r>
        <w:rPr>
          <w:rStyle w:val="CharStyle7"/>
          <w:lang w:val="en-US" w:eastAsia="en-US"/>
        </w:rPr>
        <w:t xml:space="preserve">19.05.2021 № </w:t>
      </w:r>
      <w:r>
        <w:rPr>
          <w:rStyle w:val="CharStyle7"/>
        </w:rPr>
        <w:t xml:space="preserve">320н «Об утверждении формы, порядка ведения и хранения трудовых книжек» предусмотрено что изменения записей в трудовых книжках о фамилии, имени, отчестве и дате рождения производятся на основании свидетельства о регистрации брака с ссылкой на их номер, дату и </w:t>
      </w:r>
      <w:r>
        <w:rPr>
          <w:rStyle w:val="CharStyle7"/>
          <w:b/>
          <w:bCs/>
          <w:i/>
          <w:iCs/>
        </w:rPr>
        <w:t>орган, выдавший документ.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>При этом Комиссия Управления отмечает, что в представленной Заявителем скан-копии трудовой книжки не содержится информации о наименовании органа записи актов гражданского состояния, ввиду чего комиссия Заказчика правомерно пришла к выводу о том, что документ, подтверждающий смену фамилии специалиста, в составе заявки отсутствует.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 xml:space="preserve">Также Комиссия Управления относительно сотрудника Гороховцев Т.С. отмечает, что в представленных документах по данному специалисту имеются разночтения относительно трудовой деятельности специалиста, в частности в сведениях о трудовой деятельности Гороховцева Т.С. в составе заявки представлена скан-копия трудовой книжки, согласно которой дата приема на работу </w:t>
      </w:r>
      <w:r>
        <w:rPr>
          <w:rStyle w:val="CharStyle7"/>
          <w:lang w:val="en-US" w:eastAsia="en-US"/>
        </w:rPr>
        <w:t xml:space="preserve">20.05.2022 </w:t>
      </w:r>
      <w:r>
        <w:rPr>
          <w:rStyle w:val="CharStyle7"/>
        </w:rPr>
        <w:t xml:space="preserve">и дата перевода </w:t>
      </w:r>
      <w:r>
        <w:rPr>
          <w:rStyle w:val="CharStyle7"/>
          <w:lang w:val="en-US" w:eastAsia="en-US"/>
        </w:rPr>
        <w:t xml:space="preserve">01.07.2022, </w:t>
      </w:r>
      <w:r>
        <w:rPr>
          <w:rStyle w:val="CharStyle7"/>
        </w:rPr>
        <w:t xml:space="preserve">скан-копия трудового договора от </w:t>
      </w:r>
      <w:r>
        <w:rPr>
          <w:rStyle w:val="CharStyle7"/>
          <w:lang w:val="en-US" w:eastAsia="en-US"/>
        </w:rPr>
        <w:t xml:space="preserve">20.05.2022, </w:t>
      </w:r>
      <w:r>
        <w:rPr>
          <w:rStyle w:val="CharStyle7"/>
        </w:rPr>
        <w:t xml:space="preserve">при этом в сведениях о трудовой деятельности по форме СТД-Р указана дата трудоустройства </w:t>
      </w:r>
      <w:r>
        <w:rPr>
          <w:rStyle w:val="CharStyle7"/>
          <w:lang w:val="en-US" w:eastAsia="en-US"/>
        </w:rPr>
        <w:t>05.12.2025.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7"/>
        </w:rPr>
        <w:t>Таким образом, ввиду наличия разночтений в представленных документах комиссией Заказчика правомерно к оценке не приняты сведения о трудовой деятельности специалиста Гороховцева Т.С.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  <w:rPr>
          <w:sz w:val="24"/>
          <w:szCs w:val="24"/>
        </w:rPr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692" w:left="1106" w:header="0" w:footer="264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 xml:space="preserve">Закона о контрактной системе право представления информации и документов, подтверждающих обоснованность доводов жалобы, представлено подателю жалобы, однако на заседании Комиссии Управления, а также в составе жалобы Заявителем не представлено документов и сведений, подтверждающих обоснованность вышеуказанных доводов жалобы, а также </w:t>
      </w:r>
      <w:r>
        <w:rPr>
          <w:rStyle w:val="CharStyle7"/>
          <w:sz w:val="24"/>
          <w:szCs w:val="24"/>
          <w:lang w:val="en-US" w:eastAsia="en-US"/>
        </w:rPr>
        <w:t>2026-24226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свидетельствующих о нарушении комиссией Заказчика норм Закона о контрактной системе, ввиду чего у Комиссии Управления отсутствуют правовые основания считать комиссию Заказчика нарушившей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на основании имеющихся документов и сведений, а также с учетом пояснений представителя Заказчика,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86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1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Признать жалобу ООО «ИНТЕРМОБИЛИТИ» на действия ГККУ г. Москвы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ЦОДД Правительства Москвы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16" w:val="left"/>
        </w:tabs>
        <w:bidi w:val="0"/>
        <w:spacing w:before="0" w:after="300" w:line="252" w:lineRule="auto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58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14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84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58.200000000000003pt;margin-top:10.pt;width:145.20000000000002pt;height:19.900000000000002pt;z-index:-125829369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6" behindDoc="0" locked="0" layoutInCell="1" allowOverlap="1">
            <wp:simplePos x="0" y="0"/>
            <wp:positionH relativeFrom="page">
              <wp:posOffset>2997835</wp:posOffset>
            </wp:positionH>
            <wp:positionV relativeFrom="paragraph">
              <wp:posOffset>200025</wp:posOffset>
            </wp:positionV>
            <wp:extent cx="359410" cy="396240"/>
            <wp:wrapTopAndBottom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3418205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69.14999999999998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7" behindDoc="0" locked="0" layoutInCell="1" allowOverlap="1">
                <wp:simplePos x="0" y="0"/>
                <wp:positionH relativeFrom="page">
                  <wp:posOffset>5893435</wp:posOffset>
                </wp:positionH>
                <wp:positionV relativeFrom="paragraph">
                  <wp:posOffset>127000</wp:posOffset>
                </wp:positionV>
                <wp:extent cx="1301750" cy="25273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17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464.05000000000001pt;margin-top:10.pt;width:102.5pt;height:19.900000000000002pt;z-index:-125829366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5"/>
        </w:rPr>
        <w:t xml:space="preserve">Кому </w:t>
      </w:r>
      <w:r>
        <w:rPr>
          <w:rStyle w:val="CharStyle25"/>
          <w:color w:val="555555"/>
        </w:rPr>
        <w:t xml:space="preserve">выдан: </w:t>
      </w:r>
      <w:r>
        <w:rPr>
          <w:rStyle w:val="CharStyle25"/>
          <w:color w:val="000000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00EA3D636CED58A70F15417FA130B2F6C</w:t>
      </w:r>
      <w:r>
        <w:rPr>
          <w:rStyle w:val="CharStyle25"/>
          <w:lang w:val="en-US" w:eastAsia="en-US"/>
        </w:rPr>
        <w:t>B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555555"/>
        </w:rPr>
        <w:t>20.04.2026 по 14.07.2027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114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15900" distL="0" distR="0" simplePos="0" relativeHeight="12582938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325880" cy="250190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57.950000000000003pt;margin-top:9.pt;width:104.40000000000001pt;height:19.699999999999999pt;z-index:-125829364;mso-wrap-distance-left:0;mso-wrap-distance-top:9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4150" distB="0" distL="0" distR="1786255" simplePos="0" relativeHeight="125829391" behindDoc="0" locked="0" layoutInCell="1" allowOverlap="1">
            <wp:simplePos x="0" y="0"/>
            <wp:positionH relativeFrom="page">
              <wp:posOffset>2997835</wp:posOffset>
            </wp:positionH>
            <wp:positionV relativeFrom="paragraph">
              <wp:posOffset>184150</wp:posOffset>
            </wp:positionV>
            <wp:extent cx="359410" cy="396240"/>
            <wp:wrapTopAndBottom/>
            <wp:docPr id="38" name="Shape 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box 39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3418205</wp:posOffset>
                </wp:positionH>
                <wp:positionV relativeFrom="paragraph">
                  <wp:posOffset>272415</wp:posOffset>
                </wp:positionV>
                <wp:extent cx="1722120" cy="259080"/>
                <wp:wrapNone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269.14999999999998pt;margin-top:21.4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15900" distL="0" distR="0" simplePos="0" relativeHeight="125829392" behindDoc="0" locked="0" layoutInCell="1" allowOverlap="1">
                <wp:simplePos x="0" y="0"/>
                <wp:positionH relativeFrom="page">
                  <wp:posOffset>5850255</wp:posOffset>
                </wp:positionH>
                <wp:positionV relativeFrom="paragraph">
                  <wp:posOffset>114300</wp:posOffset>
                </wp:positionV>
                <wp:extent cx="1325880" cy="250190"/>
                <wp:wrapTopAndBottom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460.65000000000003pt;margin-top:9.pt;width:104.40000000000001pt;height:19.699999999999999pt;z-index:-125829361;mso-wrap-distance-left:0;mso-wrap-distance-top:9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Матюшенко Александр Александрович</w:t>
      </w:r>
      <w:r>
        <w:rPr>
          <w:rStyle w:val="CharStyle25"/>
          <w:color w:val="000000"/>
        </w:rPr>
        <w:t xml:space="preserve"> </w:t>
      </w: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4F595A5C3E5ABB2DD77161F08559FC07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00" w:line="266" w:lineRule="auto"/>
        <w:ind w:right="0" w:firstLine="0"/>
        <w:jc w:val="left"/>
      </w:pPr>
      <w:r>
        <w:rPr>
          <w:rStyle w:val="CharStyle25"/>
        </w:rPr>
        <w:t xml:space="preserve">Действителен с 22.07.2025 </w:t>
      </w:r>
      <w:r>
        <w:rPr>
          <w:rStyle w:val="CharStyle25"/>
          <w:color w:val="555555"/>
        </w:rPr>
        <w:t xml:space="preserve">по </w:t>
      </w:r>
      <w:r>
        <w:rPr>
          <w:rStyle w:val="CharStyle25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340" w:right="0" w:firstLine="0"/>
        <w:jc w:val="left"/>
      </w:pPr>
      <w:r>
        <w:drawing>
          <wp:anchor distT="0" distB="0" distL="114300" distR="1900555" simplePos="0" relativeHeight="125829394" behindDoc="0" locked="0" layoutInCell="1" allowOverlap="1">
            <wp:simplePos x="0" y="0"/>
            <wp:positionH relativeFrom="page">
              <wp:posOffset>2997200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44" name="Shape 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box 45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3417570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269.10000000000002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М.О. Мацнева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Мацнева Мария Олеговна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00FDA1C988AAB27A9A34756B8D5F1D853</w:t>
      </w:r>
      <w:r>
        <w:rPr>
          <w:rStyle w:val="CharStyle25"/>
          <w:lang w:val="en-US" w:eastAsia="en-US"/>
        </w:rPr>
        <w:t>A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020" w:line="240" w:lineRule="auto"/>
        <w:ind w:right="0" w:firstLine="0"/>
        <w:jc w:val="left"/>
      </w:pPr>
      <w:r>
        <w:rPr>
          <w:rStyle w:val="CharStyle25"/>
        </w:rPr>
        <w:t xml:space="preserve">Действителен с 22.07.2025 </w:t>
      </w:r>
      <w:r>
        <w:rPr>
          <w:rStyle w:val="CharStyle25"/>
          <w:color w:val="555555"/>
        </w:rPr>
        <w:t xml:space="preserve">по </w:t>
      </w:r>
      <w:r>
        <w:rPr>
          <w:rStyle w:val="CharStyle25"/>
        </w:rPr>
        <w:t>15.10.2026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30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4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2026-24226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2026-24226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10214610</wp:posOffset>
              </wp:positionV>
              <wp:extent cx="728345" cy="10668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2026-24226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850000000000001pt;margin-top:804.30000000000007pt;width:57.35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2026-24226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2026-24226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57.200000000000003pt;margin-top:794.70000000000005pt;width:57.10000000000000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2026-24226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2026-24226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57.200000000000003pt;margin-top:794.70000000000005pt;width:57.100000000000001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2026-24226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473075</wp:posOffset>
              </wp:positionV>
              <wp:extent cx="15240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6.10000000000002pt;margin-top:37.25pt;width:12.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476250</wp:posOffset>
              </wp:positionV>
              <wp:extent cx="15240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6.10000000000002pt;margin-top:37.5pt;width:12.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473075</wp:posOffset>
              </wp:positionV>
              <wp:extent cx="152400" cy="10350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6.10000000000002pt;margin-top:37.25pt;width:12.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476250</wp:posOffset>
              </wp:positionV>
              <wp:extent cx="152400" cy="10350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306.10000000000002pt;margin-top:37.5pt;width:12.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473075</wp:posOffset>
              </wp:positionV>
              <wp:extent cx="152400" cy="103505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306.10000000000002pt;margin-top:37.25pt;width:12.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4"/>
      <w:numFmt w:val="decimal"/>
      <w:lvlText w:val="%1"/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8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Heading #1_"/>
    <w:basedOn w:val="DefaultParagraphFont"/>
    <w:link w:val="Style1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0">
    <w:name w:val="Body text (5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line="276" w:lineRule="auto"/>
      <w:ind w:firstLine="480"/>
      <w:outlineLvl w:val="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100"/>
      <w:ind w:left="43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6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9">
    <w:name w:val="Body text (5)"/>
    <w:basedOn w:val="Normal"/>
    <w:link w:val="CharStyle30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header" Target="header4.xml"/><Relationship Id="rId18" Type="http://schemas.openxmlformats.org/officeDocument/2006/relationships/footer" Target="footer4.xml"/><Relationship Id="rId19" Type="http://schemas.openxmlformats.org/officeDocument/2006/relationships/header" Target="header5.xml"/><Relationship Id="rId20" Type="http://schemas.openxmlformats.org/officeDocument/2006/relationships/footer" Target="footer5.xml"/><Relationship Id="rId21" Type="http://schemas.openxmlformats.org/officeDocument/2006/relationships/header" Target="header6.xml"/><Relationship Id="rId22" Type="http://schemas.openxmlformats.org/officeDocument/2006/relationships/footer" Target="footer6.xml"/><Relationship Id="rId23" Type="http://schemas.openxmlformats.org/officeDocument/2006/relationships/image" Target="media/image4.jpeg"/><Relationship Id="rId24" Type="http://schemas.openxmlformats.org/officeDocument/2006/relationships/image" Target="media/image4.jpeg" TargetMode="External"/><Relationship Id="rId25" Type="http://schemas.openxmlformats.org/officeDocument/2006/relationships/image" Target="media/image5.jpeg"/><Relationship Id="rId26" Type="http://schemas.openxmlformats.org/officeDocument/2006/relationships/image" Target="media/image5.jpeg" TargetMode="External"/><Relationship Id="rId27" Type="http://schemas.openxmlformats.org/officeDocument/2006/relationships/image" Target="media/image6.jpeg"/><Relationship Id="rId28" Type="http://schemas.openxmlformats.org/officeDocument/2006/relationships/image" Target="media/image6.jpeg" TargetMode="External"/></Relationships>
</file>