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rPr>
          <w:sz w:val="17"/>
          <w:szCs w:val="17"/>
        </w:rPr>
      </w:pPr>
      <w:r>
        <w:rPr>
          <w:rStyle w:val="CharStyle6"/>
          <w:b/>
          <w:bCs/>
          <w:sz w:val="17"/>
          <w:szCs w:val="17"/>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after="440"/>
        <w:ind w:left="0" w:right="0" w:firstLine="0"/>
        <w:jc w:val="center"/>
      </w:pPr>
      <w:r>
        <w:rPr>
          <w:rStyle w:val="CharStyle6"/>
        </w:rPr>
        <w:t>пр. Мира, 81 д, г. Красноярск, 660017</w:t>
        <w:br/>
        <w:t>тел. (391) 211-00-00, факс (391) 211-01-14</w:t>
        <w:br/>
      </w:r>
      <w:r>
        <w:rPr>
          <w:rStyle w:val="CharStyle6"/>
          <w:lang w:val="en-US" w:eastAsia="en-US"/>
        </w:rPr>
        <w:t xml:space="preserve">e-mail: </w:t>
      </w:r>
      <w:r>
        <w:fldChar w:fldCharType="begin"/>
      </w:r>
      <w:r>
        <w:rPr/>
        <w:instrText> HYPERLINK "mailto:to24@fas.gov.ru" </w:instrText>
      </w:r>
      <w:r>
        <w:fldChar w:fldCharType="separate"/>
      </w:r>
      <w:r>
        <w:rPr>
          <w:rStyle w:val="CharStyle6"/>
          <w:lang w:val="en-US" w:eastAsia="en-US"/>
        </w:rPr>
        <w:t>to24@fas.gov.ru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ind w:left="0" w:right="0" w:firstLine="0"/>
        <w:jc w:val="both"/>
      </w:pPr>
      <w:r>
        <w:rPr>
          <w:rStyle w:val="CharStyle9"/>
        </w:rPr>
        <w:tab/>
        <w:t xml:space="preserve"> №</w:t>
        <w:tab/>
      </w:r>
    </w:p>
    <w:p>
      <w:pPr>
        <w:pStyle w:val="Style10"/>
        <w:keepNext w:val="0"/>
        <w:keepLines w:val="0"/>
        <w:widowControl w:val="0"/>
        <w:shd w:val="clear" w:color="auto" w:fill="auto"/>
        <w:bidi w:val="0"/>
        <w:spacing w:before="0" w:after="0"/>
        <w:ind w:left="0" w:right="0" w:firstLine="0"/>
        <w:jc w:val="left"/>
      </w:pPr>
      <w:r>
        <w:rPr>
          <w:rStyle w:val="CharStyle11"/>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rStyle w:val="CharStyle13"/>
        </w:rPr>
        <w:t>ООО «Сограндис-НН»</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ул. Героя Советского Союза Поющева, д. 22, к. 2, оф. 303/2, г. Нижний Новгород, 603043 </w:t>
      </w:r>
      <w:r>
        <w:fldChar w:fldCharType="begin"/>
      </w:r>
      <w:r>
        <w:rPr/>
        <w:instrText> HYPERLINK "mailto:sog-nn@yandex.ru" </w:instrText>
      </w:r>
      <w:r>
        <w:fldChar w:fldCharType="separate"/>
      </w:r>
      <w:r>
        <w:rPr>
          <w:rStyle w:val="CharStyle13"/>
          <w:lang w:val="en-US" w:eastAsia="en-US"/>
        </w:rPr>
        <w:t>sog-nn@yandex.ru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КГБОУ «Красноярская школа № 6» ул. Быковского, д. 1, г. Красноярск, Красноярский край, 660055</w:t>
      </w:r>
    </w:p>
    <w:p>
      <w:pPr>
        <w:pStyle w:val="Style12"/>
        <w:keepNext w:val="0"/>
        <w:keepLines w:val="0"/>
        <w:widowControl w:val="0"/>
        <w:shd w:val="clear" w:color="auto" w:fill="auto"/>
        <w:bidi w:val="0"/>
        <w:spacing w:before="0" w:after="240" w:line="240" w:lineRule="auto"/>
        <w:ind w:left="0" w:right="0" w:firstLine="0"/>
        <w:jc w:val="left"/>
      </w:pPr>
      <w:r>
        <w:fldChar w:fldCharType="begin"/>
      </w:r>
      <w:r>
        <w:rPr/>
        <w:instrText> HYPERLINK "mailto:skoh6@mail.ru" </w:instrText>
      </w:r>
      <w:r>
        <w:fldChar w:fldCharType="separate"/>
      </w:r>
      <w:r>
        <w:rPr>
          <w:rStyle w:val="CharStyle13"/>
          <w:lang w:val="en-US" w:eastAsia="en-US"/>
        </w:rPr>
        <w:t>skoh6@mail.ru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Агентство государственного заказа</w:t>
      </w:r>
    </w:p>
    <w:p>
      <w:pPr>
        <w:pStyle w:val="Style12"/>
        <w:keepNext w:val="0"/>
        <w:keepLines w:val="0"/>
        <w:widowControl w:val="0"/>
        <w:shd w:val="clear" w:color="auto" w:fill="auto"/>
        <w:bidi w:val="0"/>
        <w:spacing w:before="0" w:after="0" w:line="240" w:lineRule="auto"/>
        <w:ind w:left="0" w:right="0" w:firstLine="0"/>
        <w:jc w:val="left"/>
      </w:pPr>
      <w:r>
        <w:rPr>
          <w:rStyle w:val="CharStyle13"/>
        </w:rPr>
        <w:t>Красноярского края</w:t>
      </w:r>
    </w:p>
    <w:p>
      <w:pPr>
        <w:pStyle w:val="Style12"/>
        <w:keepNext w:val="0"/>
        <w:keepLines w:val="0"/>
        <w:widowControl w:val="0"/>
        <w:shd w:val="clear" w:color="auto" w:fill="auto"/>
        <w:bidi w:val="0"/>
        <w:spacing w:before="0" w:after="0" w:line="240" w:lineRule="auto"/>
        <w:ind w:left="0" w:right="0" w:firstLine="0"/>
        <w:jc w:val="left"/>
      </w:pPr>
      <w:r>
        <w:rPr>
          <w:rStyle w:val="CharStyle13"/>
        </w:rPr>
        <w:t>пр-кт Мира, д. 10, оф. 53, г. Красноярск, Красноярский край, 660049</w:t>
      </w:r>
    </w:p>
    <w:p>
      <w:pPr>
        <w:pStyle w:val="Style12"/>
        <w:keepNext w:val="0"/>
        <w:keepLines w:val="0"/>
        <w:widowControl w:val="0"/>
        <w:shd w:val="clear" w:color="auto" w:fill="auto"/>
        <w:bidi w:val="0"/>
        <w:spacing w:before="0" w:after="240" w:line="240" w:lineRule="auto"/>
        <w:ind w:left="0" w:right="0" w:firstLine="0"/>
        <w:jc w:val="left"/>
      </w:pPr>
      <w:r>
        <w:fldChar w:fldCharType="begin"/>
      </w:r>
      <w:r>
        <w:rPr/>
        <w:instrText> HYPERLINK "mailto:agz_priem@mail.ru" </w:instrText>
      </w:r>
      <w:r>
        <w:fldChar w:fldCharType="separate"/>
      </w:r>
      <w:r>
        <w:rPr>
          <w:rStyle w:val="CharStyle13"/>
          <w:lang w:val="en-US" w:eastAsia="en-US"/>
        </w:rPr>
        <w:t>agz_priem@mail.ru</w:t>
      </w:r>
      <w:r>
        <w:fldChar w:fldCharType="end"/>
      </w:r>
    </w:p>
    <w:p>
      <w:pPr>
        <w:pStyle w:val="Style12"/>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79" w:right="891" w:bottom="1169" w:left="1135" w:header="0" w:footer="3" w:gutter="0"/>
          <w:pgNumType w:start="1"/>
          <w:cols w:num="2" w:space="720" w:equalWidth="0">
            <w:col w:w="4099" w:space="1166"/>
            <w:col w:w="4608"/>
          </w:cols>
          <w:noEndnote/>
          <w:titlePg/>
          <w:rtlGutter w:val="0"/>
          <w:docGrid w:linePitch="360"/>
        </w:sectPr>
      </w:pPr>
      <w:r>
        <w:rPr>
          <w:rStyle w:val="CharStyle13"/>
        </w:rPr>
        <w:t xml:space="preserve">ЭТП ТЭК-Торг </w:t>
      </w:r>
      <w:r>
        <w:fldChar w:fldCharType="begin"/>
      </w:r>
      <w:r>
        <w:rPr/>
        <w:instrText> HYPERLINK "mailto:help@tektorg.ru" </w:instrText>
      </w:r>
      <w:r>
        <w:fldChar w:fldCharType="separate"/>
      </w:r>
      <w:r>
        <w:rPr>
          <w:rStyle w:val="CharStyle13"/>
          <w:lang w:val="en-US" w:eastAsia="en-US"/>
        </w:rPr>
        <w:t>help@tektorg.ru</w:t>
      </w:r>
      <w:r>
        <w:fldChar w:fldCharType="end"/>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1" w:right="0" w:bottom="1166"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Решение по делу № 024/06/105-1510/2026</w:t>
      </w:r>
    </w:p>
    <w:p>
      <w:pPr>
        <w:pStyle w:val="Style12"/>
        <w:keepNext w:val="0"/>
        <w:keepLines w:val="0"/>
        <w:widowControl w:val="0"/>
        <w:shd w:val="clear" w:color="auto" w:fill="auto"/>
        <w:bidi w:val="0"/>
        <w:spacing w:before="0" w:after="240" w:line="240" w:lineRule="auto"/>
        <w:ind w:left="0" w:right="0" w:firstLine="0"/>
        <w:jc w:val="both"/>
      </w:pPr>
      <w:r>
        <w:rPr>
          <w:rStyle w:val="CharStyle13"/>
        </w:rPr>
        <w:t>15 мая 2026 года г. Красноярск</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Комиссия Красноярского УФАС России по контролю в сфере закупок в составе: Председатель Комиссии — Е.О. Хорышев, начальник отдела; члены Комиссии — К.С. Варава, заместитель начальника отдела; Д.Н. Пелевина, ведущий специалист-эксперт (далее — Комиссия), рассмотрев жалобу ООО «Сограндис-НН» (далее – Податель жалобы) на действия заказчика — КГБОУ «Красноярская школа № 6» (далее – Заказчик), уполномоченного органа — Агентства государственного заказа Красноярского края при проведении электронного аукциона ЭА-№-7846/26 «Приобретение автотранспортного средства для перевозки инвалидов с задним подъемником на базе ГАЗель Бизнес, модификация </w:t>
      </w:r>
      <w:r>
        <w:rPr>
          <w:rStyle w:val="CharStyle13"/>
          <w:lang w:val="en-US" w:eastAsia="en-US"/>
        </w:rPr>
        <w:t xml:space="preserve">N1GBML </w:t>
      </w:r>
      <w:r>
        <w:rPr>
          <w:rStyle w:val="CharStyle13"/>
        </w:rPr>
        <w:t>или эквивалента» (далее — электронный аукцион), извещение № 0119200000126007679, ИКЗ 262246500399224650100100040012910244 на электронной торговой площадке АО «ЭТП ТЭК- Торг» (далее — Оператор электронной площадки), установила следующее.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Существо жалобы: неправомерные действия Заказчика при формировании извещения о проведении электронного аукциона, нарушающие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rStyle w:val="CharStyle13"/>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2"/>
        <w:keepNext w:val="0"/>
        <w:keepLines w:val="0"/>
        <w:widowControl w:val="0"/>
        <w:shd w:val="clear" w:color="auto" w:fill="auto"/>
        <w:bidi w:val="0"/>
        <w:spacing w:before="0" w:after="0" w:line="240" w:lineRule="auto"/>
        <w:ind w:left="0" w:right="0" w:firstLine="700"/>
        <w:jc w:val="both"/>
      </w:pPr>
      <w:r>
        <w:rPr>
          <w:rStyle w:val="CharStyle13"/>
        </w:rPr>
        <w:t>В адреса Подателя жалобы, Заказчика, Уполномоченного органа и Оператора электронной площадки было направлено уведомление о содержании жалобы с информацией о месте и времени ее рассмотрения (далее — Уведомление).</w:t>
      </w:r>
    </w:p>
    <w:p>
      <w:pPr>
        <w:pStyle w:val="Style12"/>
        <w:keepNext w:val="0"/>
        <w:keepLines w:val="0"/>
        <w:widowControl w:val="0"/>
        <w:shd w:val="clear" w:color="auto" w:fill="auto"/>
        <w:bidi w:val="0"/>
        <w:spacing w:before="0" w:after="300" w:line="240" w:lineRule="auto"/>
        <w:ind w:left="0" w:right="0" w:firstLine="700"/>
        <w:jc w:val="both"/>
      </w:pPr>
      <w:r>
        <w:rPr>
          <w:rStyle w:val="CharStyle13"/>
        </w:rPr>
        <w:t>Заказчику, Уполномоченному органу и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4"/>
        <w:keepNext/>
        <w:keepLines/>
        <w:widowControl w:val="0"/>
        <w:shd w:val="clear" w:color="auto" w:fill="auto"/>
        <w:bidi w:val="0"/>
        <w:spacing w:before="0" w:line="240" w:lineRule="auto"/>
        <w:ind w:left="0" w:right="0" w:firstLine="0"/>
        <w:jc w:val="both"/>
      </w:pPr>
      <w:bookmarkStart w:id="0" w:name="bookmark0"/>
      <w:r>
        <w:rPr>
          <w:rStyle w:val="CharStyle15"/>
        </w:rPr>
        <w:t xml:space="preserve">in mini II in II in </w:t>
      </w:r>
      <w:r>
        <w:rPr>
          <w:rStyle w:val="CharStyle15"/>
          <w:lang w:val="ru-RU" w:eastAsia="ru-RU"/>
        </w:rPr>
        <w:t>ин</w:t>
      </w:r>
      <w:bookmarkEnd w:id="0"/>
    </w:p>
    <w:p>
      <w:pPr>
        <w:pStyle w:val="Style12"/>
        <w:keepNext w:val="0"/>
        <w:keepLines w:val="0"/>
        <w:widowControl w:val="0"/>
        <w:shd w:val="clear" w:color="auto" w:fill="auto"/>
        <w:bidi w:val="0"/>
        <w:spacing w:before="0" w:after="0" w:line="240" w:lineRule="auto"/>
        <w:ind w:left="0" w:right="0" w:firstLine="720"/>
        <w:jc w:val="both"/>
      </w:pPr>
      <w:r>
        <w:rPr>
          <w:rStyle w:val="CharStyle13"/>
        </w:rPr>
        <w:t>Перед началом заседания в адрес Комиссии поступило ходатайство от Подателя жалобы об участии в рассмотрении жалобы посредством видео-конференц-связи. Ходатайство рассмотрено и удовлетворено Комиссией.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 заседании Комиссии по рассмотрению жалобы </w:t>
      </w:r>
      <w:r>
        <w:rPr>
          <w:rStyle w:val="CharStyle13"/>
          <w:lang w:val="en-US" w:eastAsia="en-US"/>
        </w:rPr>
        <w:t xml:space="preserve">15.05.2026 </w:t>
      </w:r>
      <w:r>
        <w:rPr>
          <w:rStyle w:val="CharStyle13"/>
        </w:rPr>
        <w:t xml:space="preserve">в </w:t>
      </w:r>
      <w:r>
        <w:rPr>
          <w:rStyle w:val="CharStyle13"/>
          <w:lang w:val="en-US" w:eastAsia="en-US"/>
        </w:rPr>
        <w:t xml:space="preserve">10 </w:t>
      </w:r>
      <w:r>
        <w:rPr>
          <w:rStyle w:val="CharStyle13"/>
        </w:rPr>
        <w:t xml:space="preserve">часов </w:t>
      </w:r>
      <w:r>
        <w:rPr>
          <w:rStyle w:val="CharStyle13"/>
          <w:lang w:val="en-US" w:eastAsia="en-US"/>
        </w:rPr>
        <w:t xml:space="preserve">00 </w:t>
      </w:r>
      <w:r>
        <w:rPr>
          <w:rStyle w:val="CharStyle13"/>
        </w:rPr>
        <w:t>минут по существу присутствовали представители Подателя жалобы и Уполномоченного органа, надлежащим образом подтвердившие свои личности и полномочия. Представитель Заказчика, уведомленный надлежащим образом о дате и месте рассмотрения, отсутствовал на заседании Комиссии.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 целью полного, всестороннего и объективного рассмотрения жалобы в заседании Комиссии был объявлен перерыв до </w:t>
      </w:r>
      <w:r>
        <w:rPr>
          <w:rStyle w:val="CharStyle13"/>
          <w:lang w:val="en-US" w:eastAsia="en-US"/>
        </w:rPr>
        <w:t xml:space="preserve">15.05.2026 </w:t>
      </w:r>
      <w:r>
        <w:rPr>
          <w:rStyle w:val="CharStyle13"/>
        </w:rPr>
        <w:t xml:space="preserve">до </w:t>
      </w:r>
      <w:r>
        <w:rPr>
          <w:rStyle w:val="CharStyle13"/>
          <w:lang w:val="en-US" w:eastAsia="en-US"/>
        </w:rPr>
        <w:t xml:space="preserve">15 </w:t>
      </w:r>
      <w:r>
        <w:rPr>
          <w:rStyle w:val="CharStyle13"/>
        </w:rPr>
        <w:t xml:space="preserve">часов </w:t>
      </w:r>
      <w:r>
        <w:rPr>
          <w:rStyle w:val="CharStyle13"/>
          <w:lang w:val="en-US" w:eastAsia="en-US"/>
        </w:rPr>
        <w:t xml:space="preserve">50 </w:t>
      </w:r>
      <w:r>
        <w:rPr>
          <w:rStyle w:val="CharStyle13"/>
        </w:rPr>
        <w:t>минут (время местное).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Заседание Комиссии по рассмотрению жалобы по существу продолжилось </w:t>
      </w:r>
      <w:r>
        <w:rPr>
          <w:rStyle w:val="CharStyle13"/>
          <w:lang w:val="en-US" w:eastAsia="en-US"/>
        </w:rPr>
        <w:t xml:space="preserve">15.05.2026 </w:t>
      </w:r>
      <w:r>
        <w:rPr>
          <w:rStyle w:val="CharStyle13"/>
        </w:rPr>
        <w:t xml:space="preserve">в </w:t>
      </w:r>
      <w:r>
        <w:rPr>
          <w:rStyle w:val="CharStyle13"/>
          <w:lang w:val="en-US" w:eastAsia="en-US"/>
        </w:rPr>
        <w:t xml:space="preserve">15 </w:t>
      </w:r>
      <w:r>
        <w:rPr>
          <w:rStyle w:val="CharStyle13"/>
        </w:rPr>
        <w:t xml:space="preserve">часов </w:t>
      </w:r>
      <w:r>
        <w:rPr>
          <w:rStyle w:val="CharStyle13"/>
          <w:lang w:val="en-US" w:eastAsia="en-US"/>
        </w:rPr>
        <w:t xml:space="preserve">50 </w:t>
      </w:r>
      <w:r>
        <w:rPr>
          <w:rStyle w:val="CharStyle13"/>
        </w:rPr>
        <w:t>минут, на котором представители Подателя жалобы, Заказчика и Уполномоченного органа отсутствовали.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в связи с поступлением жалобы также провела внеплановую проверку соблюдения законодательства о контрактной системе при проведении рассматриваемой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Податель жалобы полагает, что Заказчиком неправомерно выбран код КТРУ </w:t>
      </w:r>
      <w:r>
        <w:rPr>
          <w:rStyle w:val="CharStyle13"/>
          <w:lang w:val="en-US" w:eastAsia="en-US"/>
        </w:rPr>
        <w:t>29.10.40.000</w:t>
        <w:softHyphen/>
        <w:t xml:space="preserve">00000042, </w:t>
      </w:r>
      <w:r>
        <w:rPr>
          <w:rStyle w:val="CharStyle13"/>
        </w:rPr>
        <w:t xml:space="preserve">поскольку транспортное средство должно относиться к категории М (пассажирский транспорт), а не </w:t>
      </w:r>
      <w:r>
        <w:rPr>
          <w:rStyle w:val="CharStyle13"/>
          <w:lang w:val="en-US" w:eastAsia="en-US"/>
        </w:rPr>
        <w:t xml:space="preserve">N1G </w:t>
      </w:r>
      <w:r>
        <w:rPr>
          <w:rStyle w:val="CharStyle13"/>
        </w:rPr>
        <w:t>(грузовой).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Кроме того, Податель жалобы обращает внимание на то, что Заказчиком неверно применен ГОСТ Р </w:t>
      </w:r>
      <w:r>
        <w:rPr>
          <w:rStyle w:val="CharStyle13"/>
          <w:lang w:val="en-US" w:eastAsia="en-US"/>
        </w:rPr>
        <w:t xml:space="preserve">50844-95 </w:t>
      </w:r>
      <w:r>
        <w:rPr>
          <w:rStyle w:val="CharStyle13"/>
        </w:rPr>
        <w:t xml:space="preserve">«Автобусы для перевозки инвалидов», тогда как следовало руководствоваться ГОСТ </w:t>
      </w:r>
      <w:r>
        <w:rPr>
          <w:rStyle w:val="CharStyle13"/>
          <w:lang w:val="en-US" w:eastAsia="en-US"/>
        </w:rPr>
        <w:t xml:space="preserve">28385-89 </w:t>
      </w:r>
      <w:r>
        <w:rPr>
          <w:rStyle w:val="CharStyle13"/>
        </w:rPr>
        <w:t xml:space="preserve">или ГОСТ Р </w:t>
      </w:r>
      <w:r>
        <w:rPr>
          <w:rStyle w:val="CharStyle13"/>
          <w:lang w:val="en-US" w:eastAsia="en-US"/>
        </w:rPr>
        <w:t xml:space="preserve">50574-2019 </w:t>
      </w:r>
      <w:r>
        <w:rPr>
          <w:rStyle w:val="CharStyle13"/>
        </w:rPr>
        <w:t>(требования к автомобилям санитарного и медицинского назначения).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вышеизложенного Податель жалобы приходит к выводу о том, что описание объекта закупки составлено Заказчиком с целью ограничения количества потенциальных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Заказчиком и Уполномоченным органом представлены письменные возражения в отношении доводов жалобы, из которых следует, что извещение о проведении электронного аукциона составлено в соответствии с требованиями Закона о контрактной системе, исходя из фактической потребности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13"/>
          <w:lang w:val="en-US" w:eastAsia="en-US"/>
        </w:rPr>
        <w:t xml:space="preserve">– </w:t>
      </w:r>
      <w:r>
        <w:rPr>
          <w:rStyle w:val="CharStyle13"/>
        </w:rPr>
        <w:t>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связи с возникшей потребностью Заказчика Уполномоченным органом совершены действия по проведению электронного аукциона.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Извещение о проведении электронного аукциона на право заключения контракта на «приобретение автотранспортного средства для перевозки инвалидов с задним подъемником на базе ГАЗель Бизнес, модификация </w:t>
      </w:r>
      <w:r>
        <w:rPr>
          <w:rStyle w:val="CharStyle13"/>
          <w:lang w:val="en-US" w:eastAsia="en-US"/>
        </w:rPr>
        <w:t xml:space="preserve">N1GBML </w:t>
      </w:r>
      <w:r>
        <w:rPr>
          <w:rStyle w:val="CharStyle13"/>
        </w:rPr>
        <w:t xml:space="preserve">или эквивалента» размещено </w:t>
      </w:r>
      <w:r>
        <w:rPr>
          <w:rStyle w:val="CharStyle13"/>
          <w:lang w:val="en-US" w:eastAsia="en-US"/>
        </w:rPr>
        <w:t xml:space="preserve">29.04.2026 </w:t>
      </w:r>
      <w:r>
        <w:rPr>
          <w:rStyle w:val="CharStyle13"/>
        </w:rPr>
        <w:t>в ЕИС.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w:t>
      </w:r>
    </w:p>
    <w:p>
      <w:pPr>
        <w:pStyle w:val="Style12"/>
        <w:keepNext w:val="0"/>
        <w:keepLines w:val="0"/>
        <w:widowControl w:val="0"/>
        <w:shd w:val="clear" w:color="auto" w:fill="auto"/>
        <w:bidi w:val="0"/>
        <w:spacing w:before="0" w:after="0" w:line="240" w:lineRule="auto"/>
        <w:ind w:left="0" w:right="0" w:firstLine="0"/>
        <w:jc w:val="both"/>
      </w:pPr>
      <w:r>
        <w:rPr>
          <w:rStyle w:val="CharStyle13"/>
        </w:rPr>
        <w:t>изменяться.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положениями статьи </w:t>
      </w:r>
      <w:r>
        <w:rPr>
          <w:rStyle w:val="CharStyle13"/>
          <w:lang w:val="en-US" w:eastAsia="en-US"/>
        </w:rPr>
        <w:t xml:space="preserve">33 </w:t>
      </w:r>
      <w:r>
        <w:rPr>
          <w:rStyle w:val="CharStyle13"/>
        </w:rPr>
        <w:t>Закона о контрактной системе Заказчик вправе определить такие требования к товару, которые соответствуют его потребности с учетом специфики деятельности.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подпункту «в»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описание объекта закупки может содержать указание на товарный знак в случае осуществления закупки запасных частей и расходных материалов к машинам и оборудованию, используемых заказчиком, в соответствии с технической документацией на указанные машины и оборудование.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следующую информацию:</w:t>
      </w:r>
    </w:p>
    <w:p>
      <w:pPr>
        <w:pStyle w:val="Style12"/>
        <w:keepNext w:val="0"/>
        <w:keepLines w:val="0"/>
        <w:widowControl w:val="0"/>
        <w:numPr>
          <w:ilvl w:val="0"/>
          <w:numId w:val="1"/>
        </w:numPr>
        <w:shd w:val="clear" w:color="auto" w:fill="auto"/>
        <w:tabs>
          <w:tab w:pos="941" w:val="left"/>
        </w:tabs>
        <w:bidi w:val="0"/>
        <w:spacing w:before="0" w:after="0" w:line="240" w:lineRule="auto"/>
        <w:ind w:left="0" w:right="0" w:firstLine="720"/>
        <w:jc w:val="both"/>
      </w:pPr>
      <w:r>
        <w:rPr>
          <w:rStyle w:val="CharStyle13"/>
        </w:rPr>
        <w:t>наименование объекта закупки;</w:t>
      </w:r>
    </w:p>
    <w:p>
      <w:pPr>
        <w:pStyle w:val="Style12"/>
        <w:keepNext w:val="0"/>
        <w:keepLines w:val="0"/>
        <w:widowControl w:val="0"/>
        <w:numPr>
          <w:ilvl w:val="0"/>
          <w:numId w:val="1"/>
        </w:numPr>
        <w:shd w:val="clear" w:color="auto" w:fill="auto"/>
        <w:tabs>
          <w:tab w:pos="936" w:val="left"/>
        </w:tabs>
        <w:bidi w:val="0"/>
        <w:spacing w:before="0" w:after="0" w:line="240" w:lineRule="auto"/>
        <w:ind w:left="0" w:right="0" w:firstLine="720"/>
        <w:jc w:val="both"/>
      </w:pPr>
      <w:r>
        <w:rPr>
          <w:rStyle w:val="CharStyle13"/>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 xml:space="preserve">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Правила формирования КТРУ), а также правила использования указанного каталога (далее </w:t>
      </w:r>
      <w:r>
        <w:rPr>
          <w:rStyle w:val="CharStyle13"/>
          <w:lang w:val="en-US" w:eastAsia="en-US"/>
        </w:rPr>
        <w:t xml:space="preserve">– </w:t>
      </w:r>
      <w:r>
        <w:rPr>
          <w:rStyle w:val="CharStyle13"/>
        </w:rPr>
        <w:t>Правила использования КТРУ)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3"/>
          <w:lang w:val="en-US" w:eastAsia="en-US"/>
        </w:rPr>
        <w:t xml:space="preserve">08.02.2017 №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4 </w:t>
      </w:r>
      <w:r>
        <w:rPr>
          <w:rStyle w:val="CharStyle13"/>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«б»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1"/>
        </w:numPr>
        <w:shd w:val="clear" w:color="auto" w:fill="auto"/>
        <w:tabs>
          <w:tab w:pos="941" w:val="left"/>
        </w:tabs>
        <w:bidi w:val="0"/>
        <w:spacing w:before="0" w:after="0" w:line="240" w:lineRule="auto"/>
        <w:ind w:left="0" w:right="0" w:firstLine="720"/>
        <w:jc w:val="both"/>
      </w:pPr>
      <w:r>
        <w:rPr>
          <w:rStyle w:val="CharStyle13"/>
        </w:rPr>
        <w:t>наименование товара, работы, услуги;</w:t>
      </w:r>
    </w:p>
    <w:p>
      <w:pPr>
        <w:pStyle w:val="Style12"/>
        <w:keepNext w:val="0"/>
        <w:keepLines w:val="0"/>
        <w:widowControl w:val="0"/>
        <w:numPr>
          <w:ilvl w:val="0"/>
          <w:numId w:val="1"/>
        </w:numPr>
        <w:shd w:val="clear" w:color="auto" w:fill="auto"/>
        <w:tabs>
          <w:tab w:pos="931" w:val="left"/>
        </w:tabs>
        <w:bidi w:val="0"/>
        <w:spacing w:before="0" w:after="0" w:line="240" w:lineRule="auto"/>
        <w:ind w:left="0" w:right="0" w:firstLine="72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1"/>
        </w:numPr>
        <w:shd w:val="clear" w:color="auto" w:fill="auto"/>
        <w:tabs>
          <w:tab w:pos="941" w:val="left"/>
        </w:tabs>
        <w:bidi w:val="0"/>
        <w:spacing w:before="0" w:after="0" w:line="240" w:lineRule="auto"/>
        <w:ind w:left="0" w:right="0" w:firstLine="72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 общему правилу, предусмотренному пунктом </w:t>
      </w:r>
      <w:r>
        <w:rPr>
          <w:rStyle w:val="CharStyle13"/>
          <w:lang w:val="en-US" w:eastAsia="en-US"/>
        </w:rPr>
        <w:t xml:space="preserve">5 </w:t>
      </w:r>
      <w:r>
        <w:rPr>
          <w:rStyle w:val="CharStyle13"/>
        </w:rPr>
        <w:t xml:space="preserve">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3"/>
          <w:lang w:val="en-US" w:eastAsia="en-US"/>
        </w:rPr>
        <w:t xml:space="preserve">33 </w:t>
      </w:r>
      <w:r>
        <w:rPr>
          <w:rStyle w:val="CharStyle13"/>
        </w:rPr>
        <w:t>Закона о контрактной системе, которые не предусмотрены в позиции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6 </w:t>
      </w:r>
      <w:r>
        <w:rPr>
          <w:rStyle w:val="CharStyle13"/>
        </w:rPr>
        <w:t xml:space="preserve">Правил использования КТРУ установлено, что в случае предоставления дополнительной информации, предусмотренной пунктом </w:t>
      </w:r>
      <w:r>
        <w:rPr>
          <w:rStyle w:val="CharStyle13"/>
          <w:lang w:val="en-US" w:eastAsia="en-US"/>
        </w:rPr>
        <w:t xml:space="preserve">5 </w:t>
      </w:r>
      <w:r>
        <w:rPr>
          <w:rStyle w:val="CharStyle13"/>
        </w:rPr>
        <w:t>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при формировании описания объекта закупки Заказчик не лишен права включить в такое описание, помимо обязательных характеристик, предусмотренных соответствующей позицией КТРУ, дополнительные характеристики, сопроводив их соответствующим обоснованием.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пункт </w:t>
      </w:r>
      <w:r>
        <w:rPr>
          <w:rStyle w:val="CharStyle13"/>
          <w:lang w:val="en-US" w:eastAsia="en-US"/>
        </w:rPr>
        <w:t xml:space="preserve">3 </w:t>
      </w:r>
      <w:r>
        <w:rPr>
          <w:rStyle w:val="CharStyle13"/>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3"/>
          <w:lang w:val="en-US" w:eastAsia="en-US"/>
        </w:rPr>
        <w:t xml:space="preserve">27.01.2022 </w:t>
      </w:r>
      <w:r>
        <w:rPr>
          <w:rStyle w:val="CharStyle13"/>
        </w:rPr>
        <w:t xml:space="preserve">г. </w:t>
      </w:r>
      <w:r>
        <w:rPr>
          <w:rStyle w:val="CharStyle13"/>
          <w:lang w:val="en-US" w:eastAsia="en-US"/>
        </w:rPr>
        <w:t xml:space="preserve">№ 60), </w:t>
      </w:r>
      <w:r>
        <w:rPr>
          <w:rStyle w:val="CharStyle13"/>
        </w:rPr>
        <w:t xml:space="preserve">а также при прикреплении электронных документов (часть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пункт </w:t>
      </w:r>
      <w:r>
        <w:rPr>
          <w:rStyle w:val="CharStyle13"/>
          <w:lang w:val="en-US" w:eastAsia="en-US"/>
        </w:rPr>
        <w:t xml:space="preserve">4 </w:t>
      </w:r>
      <w:r>
        <w:rPr>
          <w:rStyle w:val="CharStyle13"/>
        </w:rPr>
        <w:t xml:space="preserve">вышеуказанного Положения), Комиссия установила, что Заказчиком осуществляется закупка автотранспортного средства для перевозки инвалидов с задним подъемником на базе ГАЗель Бизнес, модификация </w:t>
      </w:r>
      <w:r>
        <w:rPr>
          <w:rStyle w:val="CharStyle13"/>
          <w:lang w:val="en-US" w:eastAsia="en-US"/>
        </w:rPr>
        <w:t xml:space="preserve">N1GBML </w:t>
      </w:r>
      <w:r>
        <w:rPr>
          <w:rStyle w:val="CharStyle13"/>
        </w:rPr>
        <w:t xml:space="preserve">или эквивалента, КТРУ </w:t>
      </w:r>
      <w:r>
        <w:rPr>
          <w:rStyle w:val="CharStyle13"/>
          <w:lang w:val="en-US" w:eastAsia="en-US"/>
        </w:rPr>
        <w:t xml:space="preserve">— 29.10.40.000-00000042, </w:t>
      </w:r>
      <w:r>
        <w:rPr>
          <w:rStyle w:val="CharStyle13"/>
        </w:rPr>
        <w:t xml:space="preserve">ОКПД2 </w:t>
      </w:r>
      <w:r>
        <w:rPr>
          <w:rStyle w:val="CharStyle13"/>
          <w:lang w:val="en-US" w:eastAsia="en-US"/>
        </w:rPr>
        <w:t>— 29.10.42.111.</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Относительно первого довода Подателя жалобы о неправомерном выборе позиции КТРУ, Комиссия сообщает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Податель жалобы полагает, что Заказчиком неправомерно выбран код позиции КТРУ </w:t>
      </w:r>
      <w:r>
        <w:rPr>
          <w:rStyle w:val="CharStyle13"/>
          <w:lang w:val="en-US" w:eastAsia="en-US"/>
        </w:rPr>
        <w:t xml:space="preserve">29.10.40.000-00000042, </w:t>
      </w:r>
      <w:r>
        <w:rPr>
          <w:rStyle w:val="CharStyle13"/>
        </w:rPr>
        <w:t xml:space="preserve">поскольку транспортное средство, по его мнению, должно относиться к категории М (пассажирский транспорт), а не к категории </w:t>
      </w:r>
      <w:r>
        <w:rPr>
          <w:rStyle w:val="CharStyle13"/>
          <w:lang w:val="en-US" w:eastAsia="en-US"/>
        </w:rPr>
        <w:t xml:space="preserve">N1G </w:t>
      </w:r>
      <w:r>
        <w:rPr>
          <w:rStyle w:val="CharStyle13"/>
        </w:rPr>
        <w:t>(грузовой).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Вместе с тем Комиссия отмечает, что в позиции КТРУ </w:t>
      </w:r>
      <w:r>
        <w:rPr>
          <w:rStyle w:val="CharStyle13"/>
          <w:lang w:val="en-US" w:eastAsia="en-US"/>
        </w:rPr>
        <w:t xml:space="preserve">29.10.40.000-00000042 </w:t>
      </w:r>
      <w:r>
        <w:rPr>
          <w:rStyle w:val="CharStyle13"/>
        </w:rPr>
        <w:t xml:space="preserve">характеристика «Категория транспортного средства» со значением </w:t>
      </w:r>
      <w:r>
        <w:rPr>
          <w:rStyle w:val="CharStyle13"/>
          <w:lang w:val="en-US" w:eastAsia="en-US"/>
        </w:rPr>
        <w:t xml:space="preserve">«N1G» </w:t>
      </w:r>
      <w:r>
        <w:rPr>
          <w:rStyle w:val="CharStyle13"/>
        </w:rPr>
        <w:t>является обязательной для применения.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Изучив содержание извещения о закупке, Комиссия установила, что в описании объекта закупки Заказчиком правомерно установлена характеристика «Категория транспортного средства» со значением </w:t>
      </w:r>
      <w:r>
        <w:rPr>
          <w:rStyle w:val="CharStyle13"/>
          <w:lang w:val="en-US" w:eastAsia="en-US"/>
        </w:rPr>
        <w:t xml:space="preserve">«N1G», </w:t>
      </w:r>
      <w:r>
        <w:rPr>
          <w:rStyle w:val="CharStyle13"/>
        </w:rPr>
        <w:t xml:space="preserve">которая в силу пункта </w:t>
      </w:r>
      <w:r>
        <w:rPr>
          <w:rStyle w:val="CharStyle13"/>
          <w:lang w:val="en-US" w:eastAsia="en-US"/>
        </w:rPr>
        <w:t xml:space="preserve">4 </w:t>
      </w:r>
      <w:r>
        <w:rPr>
          <w:rStyle w:val="CharStyle13"/>
        </w:rPr>
        <w:t>Правил использования КТРУ не может быть изменена участником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Выбор позиции КТРУ, которая наиболее полно и точно удовлетворяет потребности Заказчика в приобретении товара с необходимыми техническими и эксплуатационными характеристиками, является правомерным и 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Кроме того, объектом закупки является приобретение автотранспортного средства для перевозки инвалидов с задним подъемником на базе ГАЗель Бизнес, модификация </w:t>
      </w:r>
      <w:r>
        <w:rPr>
          <w:rStyle w:val="CharStyle13"/>
          <w:lang w:val="en-US" w:eastAsia="en-US"/>
        </w:rPr>
        <w:t xml:space="preserve">N1GBML </w:t>
      </w:r>
      <w:r>
        <w:rPr>
          <w:rStyle w:val="CharStyle13"/>
        </w:rPr>
        <w:t>или эквивалента.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отмечает, что согласно сведениям Реестра российской промышленной продукции (РРПП) транспортные средства для перевозки инвалидов в креслах-колясках различных производителей могут относиться к категориям </w:t>
      </w:r>
      <w:r>
        <w:rPr>
          <w:rStyle w:val="CharStyle13"/>
          <w:lang w:val="en-US" w:eastAsia="en-US"/>
        </w:rPr>
        <w:t>M1, M2, N1 (N1G).</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транспортное средство ГАЗель Бизнес модификации </w:t>
      </w:r>
      <w:r>
        <w:rPr>
          <w:rStyle w:val="CharStyle13"/>
          <w:lang w:val="en-US" w:eastAsia="en-US"/>
        </w:rPr>
        <w:t xml:space="preserve">N1GBML, </w:t>
      </w:r>
      <w:r>
        <w:rPr>
          <w:rStyle w:val="CharStyle13"/>
        </w:rPr>
        <w:t xml:space="preserve">указанное Заказчиком, включено в реестр, что подтверждается реестровыми номерами </w:t>
      </w:r>
      <w:r>
        <w:rPr>
          <w:rStyle w:val="CharStyle13"/>
          <w:lang w:val="en-US" w:eastAsia="en-US"/>
        </w:rPr>
        <w:t xml:space="preserve">10785198, 10785199 </w:t>
      </w:r>
      <w:r>
        <w:rPr>
          <w:rStyle w:val="CharStyle13"/>
        </w:rPr>
        <w:t xml:space="preserve">и </w:t>
      </w:r>
      <w:r>
        <w:rPr>
          <w:rStyle w:val="CharStyle13"/>
          <w:lang w:val="en-US" w:eastAsia="en-US"/>
        </w:rPr>
        <w:t xml:space="preserve">10785200, </w:t>
      </w:r>
      <w:r>
        <w:rPr>
          <w:rStyle w:val="CharStyle13"/>
        </w:rPr>
        <w:t xml:space="preserve">присвоенными Министерством промышленности и торговли Российской Федерации на основании заключения Минпромторга о подтверждении производства промышленной продукции на территории Российской Федерации и Одобрения типа транспортного средства </w:t>
      </w:r>
      <w:r>
        <w:rPr>
          <w:rStyle w:val="CharStyle13"/>
          <w:lang w:val="en-US" w:eastAsia="en-US"/>
        </w:rPr>
        <w:t xml:space="preserve">№ </w:t>
      </w:r>
      <w:r>
        <w:rPr>
          <w:rStyle w:val="CharStyle13"/>
        </w:rPr>
        <w:t xml:space="preserve">ТС </w:t>
      </w:r>
      <w:r>
        <w:rPr>
          <w:rStyle w:val="CharStyle13"/>
          <w:lang w:val="en-US" w:eastAsia="en-US"/>
        </w:rPr>
        <w:t xml:space="preserve">RU </w:t>
      </w:r>
      <w:r>
        <w:rPr>
          <w:rStyle w:val="CharStyle13"/>
        </w:rPr>
        <w:t xml:space="preserve">Е- </w:t>
      </w:r>
      <w:r>
        <w:rPr>
          <w:rStyle w:val="CharStyle13"/>
          <w:lang w:val="en-US" w:eastAsia="en-US"/>
        </w:rPr>
        <w:t>RU.ГА06.03157.</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выпискам из реестра, данному транспортному средству присвоен код ОКПД2 </w:t>
      </w:r>
      <w:r>
        <w:rPr>
          <w:rStyle w:val="CharStyle13"/>
          <w:lang w:val="en-US" w:eastAsia="en-US"/>
        </w:rPr>
        <w:t xml:space="preserve">29.10.42.111, </w:t>
      </w:r>
      <w:r>
        <w:rPr>
          <w:rStyle w:val="CharStyle13"/>
        </w:rPr>
        <w:t xml:space="preserve">который относится к категории </w:t>
      </w:r>
      <w:r>
        <w:rPr>
          <w:rStyle w:val="CharStyle13"/>
          <w:lang w:val="en-US" w:eastAsia="en-US"/>
        </w:rPr>
        <w:t xml:space="preserve">N1 </w:t>
      </w:r>
      <w:r>
        <w:rPr>
          <w:rStyle w:val="CharStyle13"/>
        </w:rPr>
        <w:t>(грузовые автомобили, автофургоны). В соответствии с Правилами использования КТРУ, Заказчик обязан применять позицию КТРУ, соответствующую коду ОКПД2 товара.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Таким образом, установление Заказчиком в описании объекта закупки обязательной характеристики «Категория транспортного средства» со значением </w:t>
      </w:r>
      <w:r>
        <w:rPr>
          <w:rStyle w:val="CharStyle13"/>
          <w:lang w:val="en-US" w:eastAsia="en-US"/>
        </w:rPr>
        <w:t xml:space="preserve">«N1G», </w:t>
      </w:r>
      <w:r>
        <w:rPr>
          <w:rStyle w:val="CharStyle13"/>
        </w:rPr>
        <w:t xml:space="preserve">которая не может быть изменена участником закупки, полностью соответствует требованиям пункта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 пункта </w:t>
      </w:r>
      <w:r>
        <w:rPr>
          <w:rStyle w:val="CharStyle13"/>
          <w:lang w:val="en-US" w:eastAsia="en-US"/>
        </w:rPr>
        <w:t xml:space="preserve">4 </w:t>
      </w:r>
      <w:r>
        <w:rPr>
          <w:rStyle w:val="CharStyle13"/>
        </w:rPr>
        <w:t>Правил использования КТРУ, и является правомерным.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первый довод Подателя жалобы является необоснованным. Доказательств обратного в адрес Комиссии не представлено.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свою очередь, невозможность Подателя жалобы поставить товар, необходимый Заказчику, не может однозначно свидетельствовать об ограничении Заказчиком круга потенциальных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Положения статьи </w:t>
      </w:r>
      <w:r>
        <w:rPr>
          <w:rStyle w:val="CharStyle13"/>
          <w:lang w:val="en-US" w:eastAsia="en-US"/>
        </w:rPr>
        <w:t xml:space="preserve">6 </w:t>
      </w:r>
      <w:r>
        <w:rPr>
          <w:rStyle w:val="CharStyle13"/>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w:t>
      </w:r>
    </w:p>
    <w:p>
      <w:pPr>
        <w:pStyle w:val="Style12"/>
        <w:keepNext w:val="0"/>
        <w:keepLines w:val="0"/>
        <w:widowControl w:val="0"/>
        <w:shd w:val="clear" w:color="auto" w:fill="auto"/>
        <w:bidi w:val="0"/>
        <w:spacing w:before="0" w:after="0" w:line="240" w:lineRule="auto"/>
        <w:ind w:left="0" w:right="0" w:firstLine="0"/>
        <w:jc w:val="both"/>
      </w:pPr>
      <w:r>
        <w:rPr>
          <w:rStyle w:val="CharStyle13"/>
        </w:rPr>
        <w:t>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включение в документацию о закупках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Федерального закона от </w:t>
      </w:r>
      <w:r>
        <w:rPr>
          <w:rStyle w:val="CharStyle13"/>
          <w:lang w:val="en-US" w:eastAsia="en-US"/>
        </w:rPr>
        <w:t xml:space="preserve">26.07.2006 № 135- </w:t>
      </w:r>
      <w:r>
        <w:rPr>
          <w:rStyle w:val="CharStyle13"/>
        </w:rPr>
        <w:t xml:space="preserve">ФЗ «О защите конкуренции» (далее </w:t>
      </w:r>
      <w:r>
        <w:rPr>
          <w:rStyle w:val="CharStyle13"/>
          <w:lang w:val="en-US" w:eastAsia="en-US"/>
        </w:rPr>
        <w:t xml:space="preserve">— </w:t>
      </w:r>
      <w:r>
        <w:rPr>
          <w:rStyle w:val="CharStyle13"/>
        </w:rPr>
        <w:t>Закон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w:t>
      </w:r>
      <w:r>
        <w:rPr>
          <w:rStyle w:val="CharStyle13"/>
          <w:lang w:val="en-US" w:eastAsia="en-US"/>
        </w:rPr>
        <w:t>28.06.2017).</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Заказчик формирует закупочную процедуру в соответствии с собственными потребностями, устанавливая наиболее подходящие для него требования к товару при условии, что такие требования не приводят к ограничению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Относительно второго довода Подателя жалобы о том, что Заказчиком неверно применен ГОСТ Р </w:t>
      </w:r>
      <w:r>
        <w:rPr>
          <w:rStyle w:val="CharStyle13"/>
          <w:lang w:val="en-US" w:eastAsia="en-US"/>
        </w:rPr>
        <w:t xml:space="preserve">50844-95 </w:t>
      </w:r>
      <w:r>
        <w:rPr>
          <w:rStyle w:val="CharStyle13"/>
        </w:rPr>
        <w:t>«Автобусы для перевозки инвалидов», Комиссия отмечает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Вопрос выбора нормативных документов, устанавливающих требования к объекту закупки, относится к сфере профессионального усмотрения Заказчика и требует специальных познаний в соответствующей области, которыми контрольный орган в сфере закупок не обладает.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Однако, проанализировав представленные материалы и сопоставив их с целями закупки, Комиссия приходит к выводу, что действия Заказчика в этой части являются правомерными и обоснованными.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Законодательство о контрактной системе предоставляет заказчику право самостоятельно определять характеристики закупаемого товара исходя из своих потребностей и преследуемых целей. В данном случае Заказчиком закупается автотранспортное средство для перевозки инвалидов с задним подъемником. Именно эта цель </w:t>
      </w:r>
      <w:r>
        <w:rPr>
          <w:rStyle w:val="CharStyle13"/>
          <w:lang w:val="en-US" w:eastAsia="en-US"/>
        </w:rPr>
        <w:t xml:space="preserve">— </w:t>
      </w:r>
      <w:r>
        <w:rPr>
          <w:rStyle w:val="CharStyle13"/>
        </w:rPr>
        <w:t>обеспечение безопасной и комфортной перевозки маломобильной категории граждан является приоритетной.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Ссылки Подателя жалобы на ГОСТ </w:t>
      </w:r>
      <w:r>
        <w:rPr>
          <w:rStyle w:val="CharStyle13"/>
          <w:lang w:val="en-US" w:eastAsia="en-US"/>
        </w:rPr>
        <w:t xml:space="preserve">28385-89 </w:t>
      </w:r>
      <w:r>
        <w:rPr>
          <w:rStyle w:val="CharStyle13"/>
        </w:rPr>
        <w:t xml:space="preserve">«Комплексы медицинского назначения передвижные (подвижные) на автомобильных шасси» и ГОСТ Р </w:t>
      </w:r>
      <w:r>
        <w:rPr>
          <w:rStyle w:val="CharStyle13"/>
          <w:lang w:val="en-US" w:eastAsia="en-US"/>
        </w:rPr>
        <w:t xml:space="preserve">50574-2019 </w:t>
      </w:r>
      <w:r>
        <w:rPr>
          <w:rStyle w:val="CharStyle13"/>
        </w:rPr>
        <w:t>«Автомобили,</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автобусы и мотоциклы оперативных служб» не могут быть признаны обоснованными. ГОСТ </w:t>
      </w:r>
      <w:r>
        <w:rPr>
          <w:rStyle w:val="CharStyle13"/>
          <w:lang w:val="en-US" w:eastAsia="en-US"/>
        </w:rPr>
        <w:t xml:space="preserve">28385-89 </w:t>
      </w:r>
      <w:r>
        <w:rPr>
          <w:rStyle w:val="CharStyle13"/>
        </w:rPr>
        <w:t xml:space="preserve">распространяется на передвижные (подвижные) комплексы медицинского назначения, смонтированные на автомобильных шасси. Целью его применения является обеспечение технических требований к медицинской технике, а не к транспортным средствам для социальной перевозки граждан. В свою очередь, ГОСТ Р </w:t>
      </w:r>
      <w:r>
        <w:rPr>
          <w:rStyle w:val="CharStyle13"/>
          <w:lang w:val="en-US" w:eastAsia="en-US"/>
        </w:rPr>
        <w:t xml:space="preserve">50574-2019 </w:t>
      </w:r>
      <w:r>
        <w:rPr>
          <w:rStyle w:val="CharStyle13"/>
        </w:rPr>
        <w:t>устанавливает требования к цветографическим схемам и специальным сигналам транспортных средств оперативных служб, к которым Заказчик, являясь образовательным учреждением, не относится. Применение указанных ГОСТов для рассматриваемой закупки не отвечало бы ее цели, а их использование могло бы ввести в заблуждение участников дорожного движения и не соответствовало бы фактическому назначению автомобиля.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Таким образом, применение Заказчиком ГОСТ Р </w:t>
      </w:r>
      <w:r>
        <w:rPr>
          <w:rStyle w:val="CharStyle13"/>
          <w:lang w:val="en-US" w:eastAsia="en-US"/>
        </w:rPr>
        <w:t xml:space="preserve">50844-95, </w:t>
      </w:r>
      <w:r>
        <w:rPr>
          <w:rStyle w:val="CharStyle13"/>
        </w:rPr>
        <w:t>который специально разработан для транспортных средств, предназначенных для перевозки инвалидов с нарушениями опорно</w:t>
        <w:softHyphen/>
        <w:t xml:space="preserve">двигательных функций, в том числе в креслах-колясках, является единственно верным и обоснованным решением. Выбор Заказчиком указанного ГОСТа соответствует требованиям 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поскольку позволяет наиболее точно описать объект закупки и обеспечить достижение целей закупочной процедуры.</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второй довод Подателя жалобы не нашел подтверждения в ходе рассмотрения материалов дела. Установленные Комиссией обстоятельства свидетельствуют о соблюдении Заказчиком требований законодательства при формировании документации о закупке. Доказательств, опровергающих изложенные выводы, в адрес Комиссии не представлено.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в ходе рассмотрения жалобы Комиссия установила, что Заказчик провел мониторинг рынка медицинских изделий и представил таблицу эквивалентности, включающую продукцию следующих производителей: ООО «Инвеставто», ООО «Интеравтоцентр» и ООО «Луидор».</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Наличие на рынке нескольких взаимозаменяемых товаров, отвечающих техническим и функциональным требованиям, подтверждает соблюдение принципов контрактной системы, закрепленных в действующем законодательстве, а именно: принципа обеспечения конкуренции и требования о недопустимости установления необоснованных ограничений доступа к участию в закупке.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довод Подателя жалобы о том, что описание объекта закупки составлено Заказчиком с целью ограничения количества потенциальных участников закупки, является необоснованным, так как описание объекта закупки Заказчика полностью соответствует требованиям действующего законодательства о контрактной системе и не содержит положений, ограничивающих круг потенциальных участников закупочной процедуры.</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Сформулированные в документации характеристики носят обусловленный характер, продиктованы функциональными потребностями Заказчика, направлены на обеспечение надлежащего качества и безопасности закупаемого товара.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Следовательно, доводы Подателя жалобы не находят подтверждения при всестороннем и объективном анализе представленных материалов. Доказательств обратного в адрес Комиссии не представлено.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Статьей </w:t>
      </w:r>
      <w:r>
        <w:rPr>
          <w:rStyle w:val="CharStyle13"/>
          <w:lang w:val="en-US" w:eastAsia="en-US"/>
        </w:rPr>
        <w:t xml:space="preserve">8 </w:t>
      </w:r>
      <w:r>
        <w:rPr>
          <w:rStyle w:val="CharStyle13"/>
        </w:rPr>
        <w:t>Закона о контрактной системе определено,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br w:type="page"/>
      </w:r>
    </w:p>
    <w:p>
      <w:pPr>
        <w:pStyle w:val="Style12"/>
        <w:keepNext w:val="0"/>
        <w:keepLines w:val="0"/>
        <w:widowControl w:val="0"/>
        <w:shd w:val="clear" w:color="auto" w:fill="auto"/>
        <w:bidi w:val="0"/>
        <w:spacing w:before="0" w:after="0" w:line="240" w:lineRule="auto"/>
        <w:ind w:left="0" w:right="0" w:firstLine="720"/>
        <w:jc w:val="both"/>
      </w:pPr>
      <w:r>
        <w:rPr>
          <w:rStyle w:val="CharStyle13"/>
        </w:rPr>
        <w:t>Участником закупки может стать любое лицо, предлагающее к поставке товар, соответствующий требованиям документации, установленным исходя из потребностей Заказчика. Количество таких участников не ограничено.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Объектом закупки является поставка автотранспортного средства для перевозки инвалидов с задним подъемником на базе ГАЗель Бизнес, модификация </w:t>
      </w:r>
      <w:r>
        <w:rPr>
          <w:rStyle w:val="CharStyle13"/>
          <w:lang w:val="en-US" w:eastAsia="en-US"/>
        </w:rPr>
        <w:t xml:space="preserve">N1GBML </w:t>
      </w:r>
      <w:r>
        <w:rPr>
          <w:rStyle w:val="CharStyle13"/>
        </w:rPr>
        <w:t>или эквивалента, а не его изготовление, в связи с чем, поставщиком товара, указанного в описании объекта закупки, может быть любое заинтересованное лицо, в том числе и не производитель таких товаров.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изучив совокупность документов и сведений, имеющихся в материалах жалобы, Комиссия приходит к выводу, что действия Заказчика в части формирования положений извещения не противоречат требованиям Закону о контрактной системе, являются законными и правомерными, доводы жалобы признаны Комиссией несостоятельными.</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частями </w:t>
      </w:r>
      <w:r>
        <w:rPr>
          <w:rStyle w:val="CharStyle13"/>
          <w:lang w:val="en-US" w:eastAsia="en-US"/>
        </w:rPr>
        <w:t xml:space="preserve">3, 15 </w:t>
      </w:r>
      <w:r>
        <w:rPr>
          <w:rStyle w:val="CharStyle13"/>
        </w:rPr>
        <w:t xml:space="preserve">статьи </w:t>
      </w:r>
      <w:r>
        <w:rPr>
          <w:rStyle w:val="CharStyle13"/>
          <w:lang w:val="en-US" w:eastAsia="en-US"/>
        </w:rPr>
        <w:t xml:space="preserve">99, </w:t>
      </w:r>
      <w:r>
        <w:rPr>
          <w:rStyle w:val="CharStyle13"/>
        </w:rPr>
        <w:t xml:space="preserve">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Закона о контрактной системе Комиссия Красноярского УФАС России</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РЕШИЛА: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Признать жалобу ООО «Сограндис-НН» необоснованной.</w:t>
      </w:r>
    </w:p>
    <w:p>
      <w:pPr>
        <w:pStyle w:val="Style12"/>
        <w:keepNext w:val="0"/>
        <w:keepLines w:val="0"/>
        <w:widowControl w:val="0"/>
        <w:shd w:val="clear" w:color="auto" w:fill="auto"/>
        <w:bidi w:val="0"/>
        <w:spacing w:before="0" w:after="520" w:line="240" w:lineRule="auto"/>
        <w:ind w:left="0" w:right="0" w:firstLine="720"/>
        <w:jc w:val="both"/>
      </w:pPr>
      <w:r>
        <w:rPr>
          <w:rStyle w:val="CharStyle13"/>
        </w:rPr>
        <w:t>Настоящее решение может быть обжаловано в Арбитражный суд Красноярского края в течение трех месяцев со дня его принятия.</w:t>
      </w:r>
    </w:p>
    <w:p>
      <w:pPr>
        <w:pStyle w:val="Style12"/>
        <w:keepNext w:val="0"/>
        <w:keepLines w:val="0"/>
        <w:widowControl w:val="0"/>
        <w:shd w:val="clear" w:color="auto" w:fill="auto"/>
        <w:bidi w:val="0"/>
        <w:spacing w:before="0" w:after="520" w:line="240" w:lineRule="auto"/>
        <w:ind w:left="0" w:right="0" w:firstLine="0"/>
        <w:jc w:val="left"/>
      </w:pPr>
      <w:r>
        <mc:AlternateContent>
          <mc:Choice Requires="wps">
            <w:drawing>
              <wp:anchor distT="0" distB="523875" distL="114300" distR="114300" simplePos="0" relativeHeight="125829378" behindDoc="0" locked="0" layoutInCell="1" allowOverlap="1">
                <wp:simplePos x="0" y="0"/>
                <wp:positionH relativeFrom="page">
                  <wp:posOffset>6229350</wp:posOffset>
                </wp:positionH>
                <wp:positionV relativeFrom="paragraph">
                  <wp:posOffset>12700</wp:posOffset>
                </wp:positionV>
                <wp:extent cx="956945" cy="219710"/>
                <wp:wrapSquare wrapText="left"/>
                <wp:docPr id="7" name="Shape 7"/>
                <a:graphic xmlns:a="http://schemas.openxmlformats.org/drawingml/2006/main">
                  <a:graphicData uri="http://schemas.microsoft.com/office/word/2010/wordprocessingShape">
                    <wps:wsp>
                      <wps:cNvSpPr txBox="1"/>
                      <wps:spPr>
                        <a:xfrm>
                          <a:ext cx="956945"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Е.О. Хорышев</w:t>
                            </w:r>
                          </w:p>
                        </w:txbxContent>
                      </wps:txbx>
                      <wps:bodyPr wrap="none" lIns="0" tIns="0" rIns="0" bIns="0">
                        <a:noAutoFit/>
                      </wps:bodyPr>
                    </wps:wsp>
                  </a:graphicData>
                </a:graphic>
              </wp:anchor>
            </w:drawing>
          </mc:Choice>
          <mc:Fallback>
            <w:pict>
              <v:shape id="_x0000_s1033" type="#_x0000_t202" style="position:absolute;margin-left:490.5pt;margin-top:1.pt;width:75.350000000000009pt;height:17.300000000000001pt;z-index:-125829375;mso-wrap-distance-left:9.pt;mso-wrap-distance-right:9.pt;mso-wrap-distance-bottom:41.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Е.О. Хорышев</w:t>
                      </w:r>
                    </w:p>
                  </w:txbxContent>
                </v:textbox>
                <w10:wrap type="square" side="left" anchorx="page"/>
              </v:shape>
            </w:pict>
          </mc:Fallback>
        </mc:AlternateContent>
      </w:r>
      <w:r>
        <mc:AlternateContent>
          <mc:Choice Requires="wps">
            <w:drawing>
              <wp:anchor distT="527050" distB="0" distL="266700" distR="120015" simplePos="0" relativeHeight="125829380" behindDoc="0" locked="0" layoutInCell="1" allowOverlap="1">
                <wp:simplePos x="0" y="0"/>
                <wp:positionH relativeFrom="page">
                  <wp:posOffset>6381750</wp:posOffset>
                </wp:positionH>
                <wp:positionV relativeFrom="paragraph">
                  <wp:posOffset>539750</wp:posOffset>
                </wp:positionV>
                <wp:extent cx="798830" cy="216535"/>
                <wp:wrapSquare wrapText="left"/>
                <wp:docPr id="9" name="Shape 9"/>
                <a:graphic xmlns:a="http://schemas.openxmlformats.org/drawingml/2006/main">
                  <a:graphicData uri="http://schemas.microsoft.com/office/word/2010/wordprocessingShape">
                    <wps:wsp>
                      <wps:cNvSpPr txBox="1"/>
                      <wps:spPr>
                        <a:xfrm>
                          <a:ext cx="79883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К.С. Варава</w:t>
                            </w:r>
                          </w:p>
                        </w:txbxContent>
                      </wps:txbx>
                      <wps:bodyPr wrap="none" lIns="0" tIns="0" rIns="0" bIns="0">
                        <a:noAutoFit/>
                      </wps:bodyPr>
                    </wps:wsp>
                  </a:graphicData>
                </a:graphic>
              </wp:anchor>
            </w:drawing>
          </mc:Choice>
          <mc:Fallback>
            <w:pict>
              <v:shape id="_x0000_s1035" type="#_x0000_t202" style="position:absolute;margin-left:502.5pt;margin-top:42.5pt;width:62.899999999999999pt;height:17.050000000000001pt;z-index:-125829373;mso-wrap-distance-left:21.pt;mso-wrap-distance-top:41.5pt;mso-wrap-distance-right:9.450000000000001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К.С. Варава</w:t>
                      </w:r>
                    </w:p>
                  </w:txbxContent>
                </v:textbox>
                <w10:wrap type="square" side="left"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52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4800" w:line="240" w:lineRule="auto"/>
        <w:ind w:left="0" w:right="0" w:firstLine="0"/>
        <w:jc w:val="right"/>
      </w:pPr>
      <w:r>
        <w:rPr>
          <w:rStyle w:val="CharStyle13"/>
        </w:rPr>
        <w:t>Д.Н. Пелевина</w:t>
      </w:r>
    </w:p>
    <w:p>
      <w:pPr>
        <w:pStyle w:val="Style5"/>
        <w:keepNext w:val="0"/>
        <w:keepLines w:val="0"/>
        <w:widowControl w:val="0"/>
        <w:shd w:val="clear" w:color="auto" w:fill="auto"/>
        <w:bidi w:val="0"/>
        <w:spacing w:before="0" w:after="0" w:line="240" w:lineRule="auto"/>
        <w:ind w:left="0" w:right="0" w:firstLine="0"/>
        <w:jc w:val="left"/>
      </w:pPr>
      <w:r>
        <w:rPr>
          <w:rStyle w:val="CharStyle6"/>
          <w:color w:val="000000"/>
        </w:rPr>
        <w:t xml:space="preserve">Исп.Пелевина Д.Н. тел. </w:t>
      </w:r>
      <w:r>
        <w:rPr>
          <w:rStyle w:val="CharStyle6"/>
          <w:color w:val="000000"/>
          <w:lang w:val="en-US" w:eastAsia="en-US"/>
        </w:rPr>
        <w:t>(391) 211-01-44</w:t>
      </w:r>
    </w:p>
    <w:sectPr>
      <w:footnotePr>
        <w:pos w:val="pageBottom"/>
        <w:numFmt w:val="decimal"/>
        <w:numRestart w:val="continuous"/>
      </w:footnotePr>
      <w:type w:val="continuous"/>
      <w:pgSz w:w="11900" w:h="16840"/>
      <w:pgMar w:top="281" w:right="537" w:bottom="1166"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10015855</wp:posOffset>
              </wp:positionV>
              <wp:extent cx="3276600" cy="103505"/>
              <wp:wrapNone/>
              <wp:docPr id="3" name="Shape 3"/>
              <a:graphic xmlns:a="http://schemas.openxmlformats.org/drawingml/2006/main">
                <a:graphicData uri="http://schemas.microsoft.com/office/word/2010/wordprocessingShape">
                  <wps:wsp>
                    <wps:cNvSpPr txBox="1"/>
                    <wps:spPr>
                      <a:xfrm>
                        <a:ext cx="3276600" cy="103505"/>
                      </a:xfrm>
                      <a:prstGeom prst="rect"/>
                      <a:noFill/>
                    </wps:spPr>
                    <wps:txbx>
                      <w:txbxContent>
                        <w:p>
                          <w:pPr>
                            <w:pStyle w:val="Style2"/>
                            <w:keepNext w:val="0"/>
                            <w:keepLines w:val="0"/>
                            <w:widowControl w:val="0"/>
                            <w:shd w:val="clear" w:color="auto" w:fill="auto"/>
                            <w:tabs>
                              <w:tab w:pos="5160" w:val="right"/>
                            </w:tabs>
                            <w:bidi w:val="0"/>
                            <w:spacing w:before="0" w:after="0" w:line="240" w:lineRule="auto"/>
                            <w:ind w:left="0" w:right="0" w:firstLine="0"/>
                            <w:jc w:val="left"/>
                            <w:rPr>
                              <w:sz w:val="24"/>
                              <w:szCs w:val="24"/>
                            </w:rPr>
                          </w:pPr>
                          <w:r>
                            <w:rPr>
                              <w:rStyle w:val="CharStyle3"/>
                              <w:sz w:val="24"/>
                              <w:szCs w:val="24"/>
                            </w:rPr>
                            <w:t>2026-7463</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00000000000003pt;margin-top:788.64999999999998pt;width:258.pt;height:8.1500000000000004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60" w:val="right"/>
                      </w:tabs>
                      <w:bidi w:val="0"/>
                      <w:spacing w:before="0" w:after="0" w:line="240" w:lineRule="auto"/>
                      <w:ind w:left="0" w:right="0" w:firstLine="0"/>
                      <w:jc w:val="left"/>
                      <w:rPr>
                        <w:sz w:val="24"/>
                        <w:szCs w:val="24"/>
                      </w:rPr>
                    </w:pPr>
                    <w:r>
                      <w:rPr>
                        <w:rStyle w:val="CharStyle3"/>
                        <w:sz w:val="24"/>
                        <w:szCs w:val="24"/>
                      </w:rPr>
                      <w:t>2026-7463</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9854565</wp:posOffset>
              </wp:positionV>
              <wp:extent cx="661670" cy="106680"/>
              <wp:wrapNone/>
              <wp:docPr id="5" name="Shape 5"/>
              <a:graphic xmlns:a="http://schemas.openxmlformats.org/drawingml/2006/main">
                <a:graphicData uri="http://schemas.microsoft.com/office/word/2010/wordprocessingShape">
                  <wps:wsp>
                    <wps:cNvSpPr txBox="1"/>
                    <wps:spPr>
                      <a:xfrm>
                        <a:ext cx="6616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2026-7463</w:t>
                          </w:r>
                        </w:p>
                      </w:txbxContent>
                    </wps:txbx>
                    <wps:bodyPr wrap="none" lIns="0" tIns="0" rIns="0" bIns="0">
                      <a:spAutoFit/>
                    </wps:bodyPr>
                  </wps:wsp>
                </a:graphicData>
              </a:graphic>
            </wp:anchor>
          </w:drawing>
        </mc:Choice>
        <mc:Fallback>
          <w:pict>
            <v:shape id="_x0000_s1031" type="#_x0000_t202" style="position:absolute;margin-left:56.75pt;margin-top:775.95000000000005pt;width:52.10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2026-7463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1">
    <w:name w:val="Picture caption_"/>
    <w:basedOn w:val="DefaultParagraphFont"/>
    <w:link w:val="Style10"/>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w w:val="50"/>
      <w:sz w:val="56"/>
      <w:szCs w:val="56"/>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8">
    <w:name w:val="Body text (3)"/>
    <w:basedOn w:val="Normal"/>
    <w:link w:val="CharStyle9"/>
    <w:pPr>
      <w:widowControl w:val="0"/>
      <w:shd w:val="clear" w:color="auto" w:fill="auto"/>
      <w:spacing w:after="240"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10">
    <w:name w:val="Picture caption"/>
    <w:basedOn w:val="Normal"/>
    <w:link w:val="CharStyle11"/>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Heading #1"/>
    <w:basedOn w:val="Normal"/>
    <w:link w:val="CharStyle15"/>
    <w:pPr>
      <w:widowControl w:val="0"/>
      <w:shd w:val="clear" w:color="auto" w:fill="auto"/>
      <w:spacing w:after="280"/>
      <w:outlineLvl w:val="0"/>
    </w:pPr>
    <w:rPr>
      <w:rFonts w:ascii="Arial" w:eastAsia="Arial" w:hAnsi="Arial" w:cs="Arial"/>
      <w:b w:val="0"/>
      <w:bCs w:val="0"/>
      <w:i w:val="0"/>
      <w:iCs w:val="0"/>
      <w:smallCaps w:val="0"/>
      <w:strike w:val="0"/>
      <w:w w:val="50"/>
      <w:sz w:val="56"/>
      <w:szCs w:val="5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