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6" w:bottom="938"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9.05.2026</w:t>
      </w:r>
      <w:r>
        <w:rPr>
          <w:rStyle w:val="CharStyle10"/>
          <w:u w:val="none"/>
        </w:rPr>
        <w:tab/>
      </w:r>
      <w:r>
        <w:fldChar w:fldCharType="end"/>
      </w:r>
      <w:r>
        <w:rPr>
          <w:rStyle w:val="CharStyle10"/>
          <w:u w:val="none"/>
        </w:rPr>
        <w:t xml:space="preserve">№ </w:t>
      </w:r>
      <w:r>
        <w:rPr>
          <w:rStyle w:val="CharStyle10"/>
        </w:rPr>
        <w:t>ИБ/10035/2</w:t>
      </w:r>
      <w:r>
        <w:rPr>
          <w:rStyle w:val="CharStyle10"/>
          <w:u w:val="none"/>
        </w:rPr>
        <w:t>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ООО "Фабрикант" </w:t>
      </w:r>
      <w:r>
        <w:fldChar w:fldCharType="begin"/>
      </w:r>
      <w:r>
        <w:rPr/>
        <w:instrText> HYPERLINK "mailto:info@fabrikant.ru" </w:instrText>
      </w:r>
      <w:r>
        <w:fldChar w:fldCharType="separate"/>
      </w:r>
      <w:r>
        <w:rPr>
          <w:rStyle w:val="CharStyle13"/>
          <w:sz w:val="28"/>
          <w:szCs w:val="28"/>
          <w:lang w:val="en-US" w:eastAsia="en-US"/>
        </w:rPr>
        <w:t>info@fabrikant.ru</w:t>
      </w:r>
      <w:r>
        <w:fldChar w:fldCharType="end"/>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ООО «НОВАЯ ШКОЛА» </w:t>
      </w:r>
      <w:r>
        <w:fldChar w:fldCharType="begin"/>
      </w:r>
      <w:r>
        <w:rPr/>
        <w:instrText> HYPERLINK "mailto:den@3319.ru" </w:instrText>
      </w:r>
      <w:r>
        <w:fldChar w:fldCharType="separate"/>
      </w:r>
      <w:r>
        <w:rPr>
          <w:rStyle w:val="CharStyle13"/>
          <w:sz w:val="28"/>
          <w:szCs w:val="28"/>
          <w:lang w:val="en-US" w:eastAsia="en-US"/>
        </w:rPr>
        <w:t>den@3319.ru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Государственное бюджетное профессиональное образовательное учреждение «Нижегородский техникум транспортного обслуживания и сервиса»</w:t>
      </w:r>
    </w:p>
    <w:p>
      <w:pPr>
        <w:pStyle w:val="Style12"/>
        <w:keepNext w:val="0"/>
        <w:keepLines w:val="0"/>
        <w:widowControl w:val="0"/>
        <w:shd w:val="clear" w:color="auto" w:fill="auto"/>
        <w:bidi w:val="0"/>
        <w:spacing w:before="0" w:after="0" w:line="240" w:lineRule="auto"/>
        <w:ind w:left="0" w:right="0" w:firstLine="0"/>
        <w:jc w:val="left"/>
        <w:rPr>
          <w:sz w:val="28"/>
          <w:szCs w:val="28"/>
        </w:rPr>
        <w:sectPr>
          <w:footnotePr>
            <w:pos w:val="pageBottom"/>
            <w:numFmt w:val="decimal"/>
            <w:numRestart w:val="continuous"/>
          </w:footnotePr>
          <w:type w:val="continuous"/>
          <w:pgSz w:w="11900" w:h="16840"/>
          <w:pgMar w:top="385" w:right="723" w:bottom="2311" w:left="1135" w:header="0" w:footer="3" w:gutter="0"/>
          <w:cols w:num="2" w:space="720" w:equalWidth="0">
            <w:col w:w="4334" w:space="936"/>
            <w:col w:w="4771"/>
          </w:cols>
          <w:noEndnote/>
          <w:rtlGutter w:val="0"/>
          <w:docGrid w:linePitch="360"/>
        </w:sectPr>
      </w:pPr>
      <w:r>
        <w:fldChar w:fldCharType="begin"/>
      </w:r>
      <w:r>
        <w:rPr/>
        <w:instrText> HYPERLINK "mailto:vyacheslavnic@gmail.com" </w:instrText>
      </w:r>
      <w:r>
        <w:fldChar w:fldCharType="separate"/>
      </w:r>
      <w:r>
        <w:rPr>
          <w:rStyle w:val="CharStyle13"/>
          <w:sz w:val="28"/>
          <w:szCs w:val="28"/>
          <w:lang w:val="en-US" w:eastAsia="en-US"/>
        </w:rPr>
        <w:t>vyacheslavnic@gmail.com</w:t>
      </w:r>
      <w:r>
        <w:fldChar w:fldCharType="end"/>
      </w:r>
      <w:r>
        <w:rPr>
          <w:rStyle w:val="CharStyle13"/>
          <w:sz w:val="28"/>
          <w:szCs w:val="28"/>
          <w:lang w:val="en-US" w:eastAsia="en-US"/>
        </w:rPr>
        <w:t xml:space="preserve">, </w:t>
      </w:r>
      <w:r>
        <w:fldChar w:fldCharType="begin"/>
      </w:r>
      <w:r>
        <w:rPr/>
        <w:instrText> HYPERLINK "mailto:nttos_suz@mail.52gov.ru" </w:instrText>
      </w:r>
      <w:r>
        <w:fldChar w:fldCharType="separate"/>
      </w:r>
      <w:r>
        <w:rPr>
          <w:rStyle w:val="CharStyle13"/>
          <w:sz w:val="28"/>
          <w:szCs w:val="28"/>
          <w:lang w:val="en-US" w:eastAsia="en-US"/>
        </w:rPr>
        <w:t>nttos_suz@mail.52gov.ru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4" w:after="1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61" w:right="0" w:bottom="1747"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052/06/105-1183/2026</w:t>
      </w:r>
    </w:p>
    <w:p>
      <w:pPr>
        <w:pStyle w:val="Style1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185545" cy="234950"/>
                <wp:wrapSquare wrapText="right"/>
                <wp:docPr id="9" name="Shape 9"/>
                <a:graphic xmlns:a="http://schemas.openxmlformats.org/drawingml/2006/main">
                  <a:graphicData uri="http://schemas.microsoft.com/office/word/2010/wordprocessingShape">
                    <wps:wsp>
                      <wps:cNvSpPr txBox="1"/>
                      <wps:spPr>
                        <a:xfrm>
                          <a:ext cx="11855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14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93.350000000000009pt;height:18.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14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566" w:val="left"/>
        </w:tabs>
        <w:bidi w:val="0"/>
        <w:spacing w:before="0" w:after="0" w:line="240" w:lineRule="auto"/>
        <w:ind w:left="240" w:right="0" w:firstLine="4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58570" cy="612775"/>
                <wp:wrapSquare wrapText="right"/>
                <wp:docPr id="11" name="Shape 11"/>
                <a:graphic xmlns:a="http://schemas.openxmlformats.org/drawingml/2006/main">
                  <a:graphicData uri="http://schemas.microsoft.com/office/word/2010/wordprocessingShape">
                    <wps:wsp>
                      <wps:cNvSpPr txBox="1"/>
                      <wps:spPr>
                        <a:xfrm>
                          <a:ext cx="1258570" cy="612775"/>
                        </a:xfrm>
                        <a:prstGeom prst="rect"/>
                        <a:noFill/>
                      </wps:spPr>
                      <wps:txbx>
                        <w:txbxContent>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7" type="#_x0000_t202" style="position:absolute;margin-left:55.800000000000004pt;margin-top:1.pt;width:99.100000000000009pt;height:4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Лебедевой Ю.К</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566" w:val="left"/>
        </w:tabs>
        <w:bidi w:val="0"/>
        <w:spacing w:before="0" w:after="0" w:line="240" w:lineRule="auto"/>
        <w:ind w:left="240" w:right="0" w:firstLine="40"/>
        <w:jc w:val="both"/>
      </w:pPr>
      <w:r>
        <w:rPr>
          <w:rStyle w:val="CharStyle13"/>
        </w:rPr>
        <w:t>члена комиссии, специалиста-эксперта отдела контроля торгов,</w:t>
      </w:r>
    </w:p>
    <w:p>
      <w:pPr>
        <w:pStyle w:val="Style12"/>
        <w:keepNext w:val="0"/>
        <w:keepLines w:val="0"/>
        <w:widowControl w:val="0"/>
        <w:numPr>
          <w:ilvl w:val="0"/>
          <w:numId w:val="3"/>
        </w:numPr>
        <w:shd w:val="clear" w:color="auto" w:fill="auto"/>
        <w:tabs>
          <w:tab w:pos="526" w:val="left"/>
        </w:tabs>
        <w:bidi w:val="0"/>
        <w:spacing w:before="0" w:after="260" w:line="240" w:lineRule="auto"/>
        <w:ind w:left="240" w:right="0" w:firstLine="4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260" w:line="240" w:lineRule="auto"/>
        <w:ind w:left="0" w:right="0" w:firstLine="0"/>
        <w:jc w:val="both"/>
      </w:pPr>
      <w:r>
        <w:rPr>
          <w:rStyle w:val="CharStyle13"/>
        </w:rPr>
        <w:t>при участии посредством видео-конференц-связи:</w:t>
      </w:r>
    </w:p>
    <w:p>
      <w:pPr>
        <w:pStyle w:val="Style12"/>
        <w:keepNext w:val="0"/>
        <w:keepLines w:val="0"/>
        <w:widowControl w:val="0"/>
        <w:numPr>
          <w:ilvl w:val="0"/>
          <w:numId w:val="5"/>
        </w:numPr>
        <w:shd w:val="clear" w:color="auto" w:fill="auto"/>
        <w:tabs>
          <w:tab w:pos="286" w:val="left"/>
        </w:tabs>
        <w:bidi w:val="0"/>
        <w:spacing w:before="0" w:after="0" w:line="240" w:lineRule="auto"/>
        <w:ind w:left="2560" w:right="0" w:hanging="2560"/>
        <w:jc w:val="both"/>
      </w:pPr>
      <w:r>
        <w:rPr>
          <w:rStyle w:val="CharStyle13"/>
        </w:rPr>
        <w:t>Ловыгиной А.В. - представителя ГБПОУ «Нижегородский техникум транспортного обслуживания и сервиса» по доверенности от 07.05.2026 №42;</w:t>
      </w:r>
    </w:p>
    <w:p>
      <w:pPr>
        <w:pStyle w:val="Style12"/>
        <w:keepNext w:val="0"/>
        <w:keepLines w:val="0"/>
        <w:widowControl w:val="0"/>
        <w:numPr>
          <w:ilvl w:val="0"/>
          <w:numId w:val="5"/>
        </w:numPr>
        <w:shd w:val="clear" w:color="auto" w:fill="auto"/>
        <w:tabs>
          <w:tab w:pos="286" w:val="left"/>
        </w:tabs>
        <w:bidi w:val="0"/>
        <w:spacing w:before="0" w:after="260" w:line="240" w:lineRule="auto"/>
        <w:ind w:left="2560" w:right="0" w:hanging="2560"/>
        <w:jc w:val="both"/>
      </w:pPr>
      <w:r>
        <w:rPr>
          <w:rStyle w:val="CharStyle13"/>
        </w:rPr>
        <w:t>Семенцова П.С. - представителя ООО «Новая школа» по доверенности от 08.05.2026 №б/н,</w:t>
      </w:r>
    </w:p>
    <w:p>
      <w:pPr>
        <w:pStyle w:val="Style12"/>
        <w:keepNext w:val="0"/>
        <w:keepLines w:val="0"/>
        <w:widowControl w:val="0"/>
        <w:shd w:val="clear" w:color="auto" w:fill="auto"/>
        <w:bidi w:val="0"/>
        <w:spacing w:before="0" w:after="260" w:line="240" w:lineRule="auto"/>
        <w:ind w:left="0" w:right="0" w:firstLine="0"/>
        <w:jc w:val="both"/>
      </w:pPr>
      <w:r>
        <w:rPr>
          <w:rStyle w:val="CharStyle13"/>
        </w:rPr>
        <w:t>рассмотрев посредством видео-конференц-связи жалобу общества с ограниченной ответственностью «Новая школа» (далее также – ООО «Новая школа», заявитель) о нарушении Государственным бюджетным профессиональным образовательным учреждением «Нижегородский техникум транспортного обслуживания и сервиса» (далее – ГБПОУ «Нижегородский техникум транспортного обслуживания и сервиса», Заказчик)</w:t>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«поставка макета действующего "Тормозное оборудование грузового локомотива"», номер извещения </w:t>
      </w:r>
      <w:r>
        <w:rPr>
          <w:rStyle w:val="CharStyle13"/>
          <w:lang w:val="en-US" w:eastAsia="en-US"/>
        </w:rPr>
        <w:t>0332200065126000002,</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«поставка макета действующего "Тормозное оборудование грузового локомотива"», номер извещения </w:t>
      </w:r>
      <w:r>
        <w:rPr>
          <w:rStyle w:val="CharStyle13"/>
          <w:lang w:val="en-US" w:eastAsia="en-US"/>
        </w:rPr>
        <w:t>0332200065126000002.</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ходе заседания Комиссии Нижегородского УФАС России </w:t>
      </w:r>
      <w:r>
        <w:rPr>
          <w:rStyle w:val="CharStyle13"/>
          <w:lang w:val="en-US" w:eastAsia="en-US"/>
        </w:rPr>
        <w:t xml:space="preserve">13.05.2026 </w:t>
      </w:r>
      <w:r>
        <w:rPr>
          <w:rStyle w:val="CharStyle13"/>
        </w:rPr>
        <w:t xml:space="preserve">Комиссией в целях полного и всестороннего рассмотрения сведений объявлен перерыв, заседание продолжилось в </w:t>
      </w:r>
      <w:r>
        <w:rPr>
          <w:rStyle w:val="CharStyle13"/>
          <w:lang w:val="en-US" w:eastAsia="en-US"/>
        </w:rPr>
        <w:t xml:space="preserve">10 </w:t>
      </w:r>
      <w:r>
        <w:rPr>
          <w:rStyle w:val="CharStyle13"/>
        </w:rPr>
        <w:t xml:space="preserve">часов </w:t>
      </w:r>
      <w:r>
        <w:rPr>
          <w:rStyle w:val="CharStyle13"/>
          <w:lang w:val="en-US" w:eastAsia="en-US"/>
        </w:rPr>
        <w:t xml:space="preserve">00 </w:t>
      </w:r>
      <w:r>
        <w:rPr>
          <w:rStyle w:val="CharStyle13"/>
        </w:rPr>
        <w:t xml:space="preserve">минут </w:t>
      </w:r>
      <w:r>
        <w:rPr>
          <w:rStyle w:val="CharStyle13"/>
          <w:lang w:val="en-US" w:eastAsia="en-US"/>
        </w:rPr>
        <w:t>14.05.2026.</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7"/>
        </w:numPr>
        <w:shd w:val="clear" w:color="auto" w:fill="auto"/>
        <w:tabs>
          <w:tab w:pos="1090" w:val="left"/>
        </w:tabs>
        <w:bidi w:val="0"/>
        <w:spacing w:before="0" w:after="0" w:line="240" w:lineRule="auto"/>
        <w:ind w:left="0" w:right="0" w:firstLine="760"/>
        <w:jc w:val="both"/>
      </w:pPr>
      <w:r>
        <w:rPr>
          <w:rStyle w:val="CharStyle13"/>
          <w:lang w:val="en-US" w:eastAsia="en-US"/>
        </w:rPr>
        <w:t xml:space="preserve">21.04.2026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ЭТП «Фабрикант» </w:t>
      </w:r>
      <w:r>
        <w:rPr>
          <w:rStyle w:val="CharStyle13"/>
          <w:lang w:val="en-US" w:eastAsia="en-US"/>
        </w:rPr>
        <w:t xml:space="preserve">– </w:t>
      </w:r>
      <w:r>
        <w:rPr>
          <w:rStyle w:val="CharStyle13"/>
        </w:rPr>
        <w:t xml:space="preserve">размещено извещение по объекту закупки: «поставка макета действующего "Тормозное оборудование грузового локомотива"», номер извещения </w:t>
      </w:r>
      <w:r>
        <w:rPr>
          <w:rStyle w:val="CharStyle13"/>
          <w:lang w:val="en-US" w:eastAsia="en-US"/>
        </w:rPr>
        <w:t>0332200065126000002.</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Начальная (максимальная) цена контракта </w:t>
      </w:r>
      <w:r>
        <w:rPr>
          <w:rStyle w:val="CharStyle13"/>
          <w:lang w:val="en-US" w:eastAsia="en-US"/>
        </w:rPr>
        <w:t xml:space="preserve">— 1 586 255,92 </w:t>
      </w:r>
      <w:r>
        <w:rPr>
          <w:rStyle w:val="CharStyle13"/>
        </w:rPr>
        <w:t>руб.</w:t>
      </w:r>
    </w:p>
    <w:p>
      <w:pPr>
        <w:pStyle w:val="Style12"/>
        <w:keepNext w:val="0"/>
        <w:keepLines w:val="0"/>
        <w:widowControl w:val="0"/>
        <w:numPr>
          <w:ilvl w:val="0"/>
          <w:numId w:val="7"/>
        </w:numPr>
        <w:shd w:val="clear" w:color="auto" w:fill="auto"/>
        <w:tabs>
          <w:tab w:pos="1090" w:val="left"/>
        </w:tabs>
        <w:bidi w:val="0"/>
        <w:spacing w:before="0" w:after="0" w:line="240" w:lineRule="auto"/>
        <w:ind w:left="0" w:right="0" w:firstLine="760"/>
        <w:jc w:val="both"/>
      </w:pPr>
      <w:r>
        <w:rPr>
          <w:rStyle w:val="CharStyle13"/>
        </w:rPr>
        <w:t xml:space="preserve">Заявитель жалобы предполагает, что Заказчик необоснованно отклонил заявку Заявителя по пункту </w:t>
      </w:r>
      <w:r>
        <w:rPr>
          <w:rStyle w:val="CharStyle13"/>
          <w:lang w:val="en-US" w:eastAsia="en-US"/>
        </w:rPr>
        <w:t xml:space="preserve">4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280" w:line="240" w:lineRule="auto"/>
        <w:ind w:left="0" w:right="0" w:firstLine="760"/>
        <w:jc w:val="both"/>
      </w:pPr>
      <w:r>
        <w:rPr>
          <w:rStyle w:val="CharStyle13"/>
        </w:rPr>
        <w:t>Запрещается совершение заказчиками, специализированными организациями, их</w:t>
      </w:r>
    </w:p>
    <w:p>
      <w:pPr>
        <w:pStyle w:val="Style12"/>
        <w:keepNext w:val="0"/>
        <w:keepLines w:val="0"/>
        <w:widowControl w:val="0"/>
        <w:shd w:val="clear" w:color="auto" w:fill="auto"/>
        <w:bidi w:val="0"/>
        <w:spacing w:before="0" w:after="0" w:line="240" w:lineRule="auto"/>
        <w:ind w:left="0" w:right="0" w:firstLine="0"/>
        <w:jc w:val="both"/>
      </w:pPr>
      <w:r>
        <w:rPr>
          <w:rStyle w:val="CharStyle13"/>
        </w:rPr>
        <w:t>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пункта </w:t>
      </w:r>
      <w:r>
        <w:rPr>
          <w:rStyle w:val="CharStyle13"/>
          <w:lang w:val="en-US" w:eastAsia="en-US"/>
        </w:rPr>
        <w:t xml:space="preserve">3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для участия в конкурентном способе заявка на участие в закупке, если иное не предусмотрено Федеральным законом №44-ФЗ, должна содержать информацию и документы, предусмотренные нормативными правовыми актами, принятыми в соответствии с частями </w:t>
      </w:r>
      <w:r>
        <w:rPr>
          <w:rStyle w:val="CharStyle13"/>
          <w:lang w:val="en-US" w:eastAsia="en-US"/>
        </w:rPr>
        <w:t xml:space="preserve">3 </w:t>
      </w:r>
      <w:r>
        <w:rPr>
          <w:rStyle w:val="CharStyle13"/>
        </w:rPr>
        <w:t xml:space="preserve">и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(далее </w:t>
      </w:r>
      <w:r>
        <w:rPr>
          <w:rStyle w:val="CharStyle13"/>
          <w:lang w:val="en-US" w:eastAsia="en-US"/>
        </w:rPr>
        <w:t xml:space="preserve">- </w:t>
      </w:r>
      <w:r>
        <w:rPr>
          <w:rStyle w:val="CharStyle13"/>
        </w:rPr>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Постановлением Правительства Российской Федерации от </w:t>
      </w:r>
      <w:r>
        <w:rPr>
          <w:rStyle w:val="CharStyle13"/>
          <w:lang w:val="en-US" w:eastAsia="en-US"/>
        </w:rPr>
        <w:t xml:space="preserve">23.12.2024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№1875) </w:t>
      </w:r>
      <w:r>
        <w:rPr>
          <w:rStyle w:val="CharStyle13"/>
        </w:rPr>
        <w:t xml:space="preserve">установлено, что в соответствии со статьями </w:t>
      </w:r>
      <w:r>
        <w:rPr>
          <w:rStyle w:val="CharStyle13"/>
          <w:lang w:val="en-US" w:eastAsia="en-US"/>
        </w:rPr>
        <w:t xml:space="preserve">14, 22, 27, 33 </w:t>
      </w:r>
      <w:r>
        <w:rPr>
          <w:rStyle w:val="CharStyle13"/>
        </w:rPr>
        <w:t xml:space="preserve">и </w:t>
      </w:r>
      <w:r>
        <w:rPr>
          <w:rStyle w:val="CharStyle13"/>
          <w:lang w:val="en-US" w:eastAsia="en-US"/>
        </w:rPr>
        <w:t xml:space="preserve">34 </w:t>
      </w:r>
      <w:r>
        <w:rPr>
          <w:rStyle w:val="CharStyle13"/>
        </w:rPr>
        <w:t xml:space="preserve">Федерального закона "О контрактной системе в сфере закупок товаров, работ, услуг для обеспечения государственных и муниципальных нужд", статьями </w:t>
      </w:r>
      <w:r>
        <w:rPr>
          <w:rStyle w:val="CharStyle13"/>
          <w:lang w:val="en-US" w:eastAsia="en-US"/>
        </w:rPr>
        <w:t xml:space="preserve">3 </w:t>
      </w:r>
      <w:r>
        <w:rPr>
          <w:rStyle w:val="CharStyle13"/>
        </w:rPr>
        <w:t xml:space="preserve">и </w:t>
      </w:r>
      <w:r>
        <w:rPr>
          <w:rStyle w:val="CharStyle13"/>
          <w:lang w:val="en-US" w:eastAsia="en-US"/>
        </w:rPr>
        <w:t xml:space="preserve">3.1-4 </w:t>
      </w:r>
      <w:r>
        <w:rPr>
          <w:rStyle w:val="CharStyle13"/>
        </w:rPr>
        <w:t>Федерального закона "О закупках товаров, работ, услуг отдельными видами юридических лиц" Правительство Российской Федерации устанавливает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3"/>
          <w:lang w:val="en-US" w:eastAsia="en-US"/>
        </w:rPr>
        <w:t xml:space="preserve">- </w:t>
      </w:r>
      <w:r>
        <w:rPr>
          <w:rStyle w:val="CharStyle13"/>
        </w:rPr>
        <w:t xml:space="preserve">иностранные лица), по перечню согласно приложению </w:t>
      </w:r>
      <w:r>
        <w:rPr>
          <w:rStyle w:val="CharStyle13"/>
          <w:lang w:val="en-US" w:eastAsia="en-US"/>
        </w:rPr>
        <w:t xml:space="preserve">№1, </w:t>
      </w:r>
      <w:r>
        <w:rPr>
          <w:rStyle w:val="CharStyle13"/>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3"/>
          <w:lang w:val="en-US" w:eastAsia="en-US"/>
        </w:rPr>
        <w:t>№2;</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Заказчиком установлены следующие коды ОКПД2 </w:t>
      </w:r>
      <w:r>
        <w:rPr>
          <w:rStyle w:val="CharStyle13"/>
          <w:lang w:val="en-US" w:eastAsia="en-US"/>
        </w:rPr>
        <w:t xml:space="preserve">— 32.99.53.130. </w:t>
      </w:r>
      <w:r>
        <w:rPr>
          <w:rStyle w:val="CharStyle13"/>
        </w:rPr>
        <w:t xml:space="preserve">Данная позиция подпадают под действие Постановления </w:t>
      </w:r>
      <w:r>
        <w:rPr>
          <w:rStyle w:val="CharStyle13"/>
          <w:lang w:val="en-US" w:eastAsia="en-US"/>
        </w:rPr>
        <w:t xml:space="preserve">№1875, </w:t>
      </w:r>
      <w:r>
        <w:rPr>
          <w:rStyle w:val="CharStyle13"/>
        </w:rPr>
        <w:t xml:space="preserve">в связи с чем Заказчиком в извещении о проведении электронного аукциона установлено ограничение в отношении товара с кодом ОКПД2 </w:t>
      </w:r>
      <w:r>
        <w:rPr>
          <w:rStyle w:val="CharStyle13"/>
          <w:lang w:val="en-US" w:eastAsia="en-US"/>
        </w:rPr>
        <w:t>32.99.53.130.</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3 </w:t>
      </w:r>
      <w:r>
        <w:rPr>
          <w:rStyle w:val="CharStyle13"/>
        </w:rPr>
        <w:t xml:space="preserve">Постановления Правительства Российской Федерации от </w:t>
      </w:r>
      <w:r>
        <w:rPr>
          <w:rStyle w:val="CharStyle13"/>
          <w:lang w:val="en-US" w:eastAsia="en-US"/>
        </w:rPr>
        <w:t xml:space="preserve">23.12.2024 №1875 </w:t>
      </w:r>
      <w:r>
        <w:rPr>
          <w:rStyle w:val="CharStyle13"/>
        </w:rPr>
        <w:t>установлено, что информацией и документами, подтверждающими страну</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происхождения товара для целей настоящего постановления, являются: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а) для подтверждения происхождения товаров,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№1 </w:t>
      </w:r>
      <w:r>
        <w:rPr>
          <w:rStyle w:val="CharStyle13"/>
        </w:rPr>
        <w:t xml:space="preserve">к настоящему постановлению,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№2 </w:t>
      </w:r>
      <w:r>
        <w:rPr>
          <w:rStyle w:val="CharStyle13"/>
        </w:rPr>
        <w:t xml:space="preserve">к настоящему постановлению, приложении </w:t>
      </w:r>
      <w:r>
        <w:rPr>
          <w:rStyle w:val="CharStyle13"/>
          <w:lang w:val="en-US" w:eastAsia="en-US"/>
        </w:rPr>
        <w:t xml:space="preserve">№3 </w:t>
      </w:r>
      <w:r>
        <w:rPr>
          <w:rStyle w:val="CharStyle13"/>
        </w:rPr>
        <w:t xml:space="preserve">к настоящему постановлению, из Российской Федерации </w:t>
      </w:r>
      <w:r>
        <w:rPr>
          <w:rStyle w:val="CharStyle13"/>
          <w:lang w:val="en-US" w:eastAsia="en-US"/>
        </w:rPr>
        <w:t xml:space="preserve">- </w:t>
      </w:r>
      <w:r>
        <w:rPr>
          <w:rStyle w:val="CharStyle13"/>
        </w:rPr>
        <w:t xml:space="preserve">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Федерального закона "О промышленной политике в Российской Федерации", содержащей в том числе: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4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 xml:space="preserve">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случаях: предусмотренных 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подпунктом "а" пункта </w:t>
      </w:r>
      <w:r>
        <w:rPr>
          <w:rStyle w:val="CharStyle13"/>
          <w:lang w:val="en-US" w:eastAsia="en-US"/>
        </w:rPr>
        <w:t xml:space="preserve">2 </w:t>
      </w:r>
      <w:r>
        <w:rPr>
          <w:rStyle w:val="CharStyle13"/>
        </w:rPr>
        <w:t xml:space="preserve">части </w:t>
      </w:r>
      <w:r>
        <w:rPr>
          <w:rStyle w:val="CharStyle13"/>
          <w:lang w:val="en-US" w:eastAsia="en-US"/>
        </w:rPr>
        <w:t xml:space="preserve">4, </w:t>
      </w:r>
      <w:r>
        <w:rPr>
          <w:rStyle w:val="CharStyle13"/>
        </w:rPr>
        <w:t xml:space="preserve">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пунктом </w:t>
      </w:r>
      <w:r>
        <w:rPr>
          <w:rStyle w:val="CharStyle13"/>
          <w:lang w:val="en-US" w:eastAsia="en-US"/>
        </w:rPr>
        <w:t xml:space="preserve">2 </w:t>
      </w:r>
      <w:r>
        <w:rPr>
          <w:rStyle w:val="CharStyle13"/>
        </w:rPr>
        <w:t xml:space="preserve">части </w:t>
      </w:r>
      <w:r>
        <w:rPr>
          <w:rStyle w:val="CharStyle13"/>
          <w:lang w:val="en-US" w:eastAsia="en-US"/>
        </w:rPr>
        <w:t xml:space="preserve">5 </w:t>
      </w:r>
      <w:r>
        <w:rPr>
          <w:rStyle w:val="CharStyle13"/>
        </w:rPr>
        <w:t xml:space="preserve">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04.05.2026 </w:t>
      </w:r>
      <w:r>
        <w:rPr>
          <w:rStyle w:val="CharStyle13"/>
        </w:rPr>
        <w:t xml:space="preserve">№ИЭА1 заявка </w:t>
      </w:r>
      <w:r>
        <w:rPr>
          <w:rStyle w:val="CharStyle13"/>
          <w:lang w:val="en-US" w:eastAsia="en-US"/>
        </w:rPr>
        <w:t xml:space="preserve">№1 </w:t>
      </w:r>
      <w:r>
        <w:rPr>
          <w:rStyle w:val="CharStyle13"/>
        </w:rPr>
        <w:t xml:space="preserve">отклонена на основании пункта </w:t>
      </w:r>
      <w:r>
        <w:rPr>
          <w:rStyle w:val="CharStyle13"/>
          <w:lang w:val="en-US" w:eastAsia="en-US"/>
        </w:rPr>
        <w:t xml:space="preserve">4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 xml:space="preserve">Закона о контрактной системе </w:t>
      </w:r>
      <w:r>
        <w:rPr>
          <w:rStyle w:val="CharStyle13"/>
          <w:lang w:val="en-US" w:eastAsia="en-US"/>
        </w:rPr>
        <w:t xml:space="preserve">- </w:t>
      </w:r>
      <w:r>
        <w:rPr>
          <w:rStyle w:val="CharStyle13"/>
        </w:rPr>
        <w:t xml:space="preserve">отклонение в случае предусмотренном нормативно правовым актом, принятым в соответствии со статьей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анализа заявок на участие в закупке, полученных от оператора электронной торговой площадки следует, что заявка </w:t>
      </w:r>
      <w:r>
        <w:rPr>
          <w:rStyle w:val="CharStyle13"/>
          <w:lang w:val="en-US" w:eastAsia="en-US"/>
        </w:rPr>
        <w:t xml:space="preserve">№ 2 </w:t>
      </w:r>
      <w:r>
        <w:rPr>
          <w:rStyle w:val="CharStyle13"/>
        </w:rPr>
        <w:t xml:space="preserve">содержит предложение о поставке товара российского происхождения, с указанием номера реестровой записи из реестра российской промышленной продукции в отношении предложенного товара, что явилось основанием для применения положений 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Заявителем была предоставлена реестровая запись </w:t>
      </w:r>
      <w:r>
        <w:rPr>
          <w:rStyle w:val="CharStyle13"/>
          <w:lang w:val="en-US" w:eastAsia="en-US"/>
        </w:rPr>
        <w:t xml:space="preserve">№10775148 </w:t>
      </w:r>
      <w:r>
        <w:rPr>
          <w:rStyle w:val="CharStyle13"/>
        </w:rPr>
        <w:t xml:space="preserve">на следующую продукцию: «Учебное оборудование для транспортной отрасли ТУ </w:t>
      </w:r>
      <w:r>
        <w:rPr>
          <w:rStyle w:val="CharStyle13"/>
          <w:lang w:val="en-US" w:eastAsia="en-US"/>
        </w:rPr>
        <w:t xml:space="preserve">32.99.53-007-21005987- 2025», </w:t>
      </w:r>
      <w:r>
        <w:rPr>
          <w:rStyle w:val="CharStyle13"/>
        </w:rPr>
        <w:t xml:space="preserve">производитель </w:t>
      </w:r>
      <w:r>
        <w:rPr>
          <w:rStyle w:val="CharStyle13"/>
          <w:lang w:val="en-US" w:eastAsia="en-US"/>
        </w:rPr>
        <w:t xml:space="preserve">— </w:t>
      </w:r>
      <w:r>
        <w:rPr>
          <w:rStyle w:val="CharStyle13"/>
        </w:rPr>
        <w:t xml:space="preserve">ООО «ПК ФОРВАРД», совокупное количество баллов </w:t>
      </w:r>
      <w:r>
        <w:rPr>
          <w:rStyle w:val="CharStyle13"/>
          <w:lang w:val="en-US" w:eastAsia="en-US"/>
        </w:rPr>
        <w:t>— 12.</w:t>
      </w:r>
    </w:p>
    <w:p>
      <w:pPr>
        <w:pStyle w:val="Style12"/>
        <w:keepNext w:val="0"/>
        <w:keepLines w:val="0"/>
        <w:widowControl w:val="0"/>
        <w:shd w:val="clear" w:color="auto" w:fill="auto"/>
        <w:bidi w:val="0"/>
        <w:spacing w:before="0" w:after="0" w:line="240" w:lineRule="auto"/>
        <w:ind w:left="0" w:right="0" w:firstLine="760"/>
        <w:jc w:val="both"/>
      </w:pPr>
      <w:r>
        <w:rPr>
          <w:rStyle w:val="CharStyle13"/>
        </w:rPr>
        <w:t>Описание продукции, размещённое в каталоге ГИСП: «Предназначено для изучения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конструкции и принципа работы транспортных средств и технических устройств, используемых для перемещения людей и грузов различного назначения, а также для отработки практических навыков их эксплуатации и обслуживания. Для подготовки водителей различных категорий. Состоит из информационных и демонстрационных стендов, лабораторных стендов, стендов-тренажёров, интерактивных учебных тренажёров с возможностью использования виртуальной реальности в обучающих комплексах, системы определения уровня подготовки обучаемых»</w:t>
      </w:r>
    </w:p>
    <w:p>
      <w:pPr>
        <w:pStyle w:val="Style12"/>
        <w:keepNext w:val="0"/>
        <w:keepLines w:val="0"/>
        <w:widowControl w:val="0"/>
        <w:shd w:val="clear" w:color="auto" w:fill="auto"/>
        <w:bidi w:val="0"/>
        <w:spacing w:before="0" w:after="0" w:line="240" w:lineRule="auto"/>
        <w:ind w:left="0" w:right="0" w:firstLine="760"/>
        <w:jc w:val="both"/>
      </w:pPr>
      <w:r>
        <w:rPr>
          <w:rStyle w:val="CharStyle13"/>
        </w:rPr>
        <w:t>Данные реестровый номер не был принят Заказчиком, как подтверждение страны происхождения закупаемого товара по следующим причинам: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Описание предложенного товара не соответствует объекту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Объектом закупки является: Макет действующий «Тормозное оборудование грузового локомотива». Согласно описанию реестрового номера из каталога ГИСП макеты отсутствуют в составе предлагаемого к поставке товара. Макет должен быть действующей моделью с реальными пневматическими процессами. Предложенный товар </w:t>
      </w:r>
      <w:r>
        <w:rPr>
          <w:rStyle w:val="CharStyle13"/>
          <w:lang w:val="en-US" w:eastAsia="en-US"/>
        </w:rPr>
        <w:t xml:space="preserve">— </w:t>
      </w:r>
      <w:r>
        <w:rPr>
          <w:rStyle w:val="CharStyle13"/>
        </w:rPr>
        <w:t>в основном информационные стенды и виртуальные тренажёры, предназначенные для изучения разных транспортных средств и технических устройств, не специализированных под железнодорожный транспорт.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Положения Закона о контрактной системе не ограничивают комиссию по осуществлению закупок по проверке достоверности документов, информации и сведений в составе заявки участника закупки путем принятия заказчиком зависящих от него разумных и законных мер. Перечень данных мер законодательством не установлен, из чего следует, что комиссия по осуществлению закупок, в случае возникновения необходимости в подтверждении той или иной информации, не ограничена исключительно официальными информационными ресурсами.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рассматриваемом случае Комиссией Нижегородского УФАС России не установлено соответствие описания из каталога ГИСП товара с реестровым номером, указанным заявителем в заявке, товару, описанному заказчиком в объекте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изложенного, жалоба заявителя признается Комиссией Нижегородского УФАС России необоснованной.</w:t>
      </w:r>
    </w:p>
    <w:p>
      <w:pPr>
        <w:pStyle w:val="Style12"/>
        <w:keepNext w:val="0"/>
        <w:keepLines w:val="0"/>
        <w:widowControl w:val="0"/>
        <w:shd w:val="clear" w:color="auto" w:fill="auto"/>
        <w:bidi w:val="0"/>
        <w:spacing w:before="0" w:after="26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80" w:line="240" w:lineRule="auto"/>
        <w:ind w:left="0" w:right="0" w:firstLine="760"/>
        <w:jc w:val="both"/>
      </w:pPr>
      <w:r>
        <w:rPr>
          <w:rStyle w:val="CharStyle13"/>
          <w:lang w:val="en-US" w:eastAsia="en-US"/>
        </w:rPr>
        <w:t xml:space="preserve">1. </w:t>
      </w:r>
      <w:r>
        <w:rPr>
          <w:rStyle w:val="CharStyle13"/>
        </w:rPr>
        <w:t xml:space="preserve">Признать жалобу общества с ограниченной ответственностью «Новая школа» о нарушении Государственным бюджетным профессиональным образовательным учреждением «Нижегородский техникум транспортного обслуживания и сервиса»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«поставка макета действующего "Тормозное оборудование грузового локомотива"», номер извещения </w:t>
      </w:r>
      <w:r>
        <w:rPr>
          <w:rStyle w:val="CharStyle13"/>
          <w:lang w:val="en-US" w:eastAsia="en-US"/>
        </w:rPr>
        <w:t xml:space="preserve">0332200065126000002, </w:t>
      </w:r>
      <w:r>
        <w:rPr>
          <w:rStyle w:val="CharStyle13"/>
        </w:rPr>
        <w:t>необоснованной.</w:t>
      </w:r>
      <w:r>
        <w:br w:type="page"/>
      </w:r>
    </w:p>
    <w:p>
      <w:pPr>
        <w:pStyle w:val="Style12"/>
        <w:keepNext w:val="0"/>
        <w:keepLines w:val="0"/>
        <w:widowControl w:val="0"/>
        <w:shd w:val="clear" w:color="auto" w:fill="auto"/>
        <w:bidi w:val="0"/>
        <w:spacing w:before="0" w:after="52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360" w:line="240" w:lineRule="auto"/>
        <w:ind w:left="0" w:right="0" w:firstLine="0"/>
        <w:jc w:val="left"/>
      </w:pPr>
      <w:r>
        <mc:AlternateContent>
          <mc:Choice Requires="wps">
            <w:drawing>
              <wp:anchor distT="0" distB="450850" distL="114300" distR="120015" simplePos="0" relativeHeight="125829382" behindDoc="0" locked="0" layoutInCell="1" allowOverlap="1">
                <wp:simplePos x="0" y="0"/>
                <wp:positionH relativeFrom="page">
                  <wp:posOffset>5927090</wp:posOffset>
                </wp:positionH>
                <wp:positionV relativeFrom="paragraph">
                  <wp:posOffset>12700</wp:posOffset>
                </wp:positionV>
                <wp:extent cx="951230" cy="234950"/>
                <wp:wrapSquare wrapText="left"/>
                <wp:docPr id="13" name="Shape 13"/>
                <a:graphic xmlns:a="http://schemas.openxmlformats.org/drawingml/2006/main">
                  <a:graphicData uri="http://schemas.microsoft.com/office/word/2010/wordprocessingShape">
                    <wps:wsp>
                      <wps:cNvSpPr txBox="1"/>
                      <wps:spPr>
                        <a:xfrm>
                          <a:ext cx="95123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И.В. Баранов</w:t>
                            </w:r>
                          </w:p>
                        </w:txbxContent>
                      </wps:txbx>
                      <wps:bodyPr wrap="none" lIns="0" tIns="0" rIns="0" bIns="0">
                        <a:noAutoFit/>
                      </wps:bodyPr>
                    </wps:wsp>
                  </a:graphicData>
                </a:graphic>
              </wp:anchor>
            </w:drawing>
          </mc:Choice>
          <mc:Fallback>
            <w:pict>
              <v:shape id="_x0000_s1039" type="#_x0000_t202" style="position:absolute;margin-left:466.69999999999999pt;margin-top:1.pt;width:74.900000000000006pt;height:18.5pt;z-index:-125829371;mso-wrap-distance-left:9.pt;mso-wrap-distance-right:9.4500000000000011pt;mso-wrap-distance-bottom:35.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И.В. Баранов</w:t>
                      </w:r>
                    </w:p>
                  </w:txbxContent>
                </v:textbox>
                <w10:wrap type="square" side="left" anchorx="page"/>
              </v:shape>
            </w:pict>
          </mc:Fallback>
        </mc:AlternateContent>
      </w:r>
      <w:r>
        <mc:AlternateContent>
          <mc:Choice Requires="wps">
            <w:drawing>
              <wp:anchor distT="450850" distB="0" distL="114300" distR="114300" simplePos="0" relativeHeight="125829384" behindDoc="0" locked="0" layoutInCell="1" allowOverlap="1">
                <wp:simplePos x="0" y="0"/>
                <wp:positionH relativeFrom="page">
                  <wp:posOffset>5927090</wp:posOffset>
                </wp:positionH>
                <wp:positionV relativeFrom="paragraph">
                  <wp:posOffset>463550</wp:posOffset>
                </wp:positionV>
                <wp:extent cx="956945" cy="234950"/>
                <wp:wrapSquare wrapText="left"/>
                <wp:docPr id="15" name="Shape 15"/>
                <a:graphic xmlns:a="http://schemas.openxmlformats.org/drawingml/2006/main">
                  <a:graphicData uri="http://schemas.microsoft.com/office/word/2010/wordprocessingShape">
                    <wps:wsp>
                      <wps:cNvSpPr txBox="1"/>
                      <wps:spPr>
                        <a:xfrm>
                          <a:ext cx="9569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Е.С. Железов</w:t>
                            </w:r>
                          </w:p>
                        </w:txbxContent>
                      </wps:txbx>
                      <wps:bodyPr wrap="none" lIns="0" tIns="0" rIns="0" bIns="0">
                        <a:noAutoFit/>
                      </wps:bodyPr>
                    </wps:wsp>
                  </a:graphicData>
                </a:graphic>
              </wp:anchor>
            </w:drawing>
          </mc:Choice>
          <mc:Fallback>
            <w:pict>
              <v:shape id="_x0000_s1041" type="#_x0000_t202" style="position:absolute;margin-left:466.69999999999999pt;margin-top:36.5pt;width:75.350000000000009pt;height:18.5pt;z-index:-125829369;mso-wrap-distance-left:9.pt;mso-wrap-distance-top:35.5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Е.С. Железов</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36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9460" w:line="240" w:lineRule="auto"/>
        <w:ind w:left="0" w:right="340" w:firstLine="0"/>
        <w:jc w:val="right"/>
      </w:pPr>
      <w:r>
        <w:rPr>
          <w:rStyle w:val="CharStyle13"/>
        </w:rPr>
        <w:t>Ю.К. Лебедева</w:t>
      </w:r>
    </w:p>
    <w:p>
      <w:pPr>
        <w:pStyle w:val="Style16"/>
        <w:keepNext w:val="0"/>
        <w:keepLines w:val="0"/>
        <w:widowControl w:val="0"/>
        <w:shd w:val="clear" w:color="auto" w:fill="auto"/>
        <w:bidi w:val="0"/>
        <w:spacing w:before="0" w:line="240" w:lineRule="auto"/>
        <w:ind w:left="0" w:right="0" w:firstLine="0"/>
        <w:jc w:val="left"/>
      </w:pPr>
      <w:r>
        <w:rPr>
          <w:rStyle w:val="CharStyle17"/>
        </w:rPr>
        <w:t>тел.8(831)431-73-95, вн.052-301</w:t>
      </w:r>
    </w:p>
    <w:sectPr>
      <w:footnotePr>
        <w:pos w:val="pageBottom"/>
        <w:numFmt w:val="decimal"/>
        <w:numRestart w:val="continuous"/>
      </w:footnotePr>
      <w:type w:val="continuous"/>
      <w:pgSz w:w="11900" w:h="16840"/>
      <w:pgMar w:top="1561" w:right="548" w:bottom="1747"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782320</wp:posOffset>
              </wp:positionH>
              <wp:positionV relativeFrom="page">
                <wp:posOffset>10264140</wp:posOffset>
              </wp:positionV>
              <wp:extent cx="722630" cy="128270"/>
              <wp:wrapNone/>
              <wp:docPr id="5" name="Shape 5"/>
              <a:graphic xmlns:a="http://schemas.openxmlformats.org/drawingml/2006/main">
                <a:graphicData uri="http://schemas.microsoft.com/office/word/2010/wordprocessingShape">
                  <wps:wsp>
                    <wps:cNvSpPr txBox="1"/>
                    <wps:spPr>
                      <a:xfrm>
                        <a:ext cx="7226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2026-11864</w:t>
                          </w:r>
                        </w:p>
                      </w:txbxContent>
                    </wps:txbx>
                    <wps:bodyPr wrap="none" lIns="0" tIns="0" rIns="0" bIns="0">
                      <a:spAutoFit/>
                    </wps:bodyPr>
                  </wps:wsp>
                </a:graphicData>
              </a:graphic>
            </wp:anchor>
          </w:drawing>
        </mc:Choice>
        <mc:Fallback>
          <w:pict>
            <v:shape id="_x0000_s1031" type="#_x0000_t202" style="position:absolute;margin-left:61.600000000000001pt;margin-top:808.20000000000005pt;width:56.899999999999999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2026-11864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10034270</wp:posOffset>
              </wp:positionV>
              <wp:extent cx="722630" cy="125095"/>
              <wp:wrapNone/>
              <wp:docPr id="7" name="Shape 7"/>
              <a:graphic xmlns:a="http://schemas.openxmlformats.org/drawingml/2006/main">
                <a:graphicData uri="http://schemas.microsoft.com/office/word/2010/wordprocessingShape">
                  <wps:wsp>
                    <wps:cNvSpPr txBox="1"/>
                    <wps:spPr>
                      <a:xfrm>
                        <a:ext cx="72263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2026-11864</w:t>
                          </w:r>
                        </w:p>
                      </w:txbxContent>
                    </wps:txbx>
                    <wps:bodyPr wrap="none" lIns="0" tIns="0" rIns="0" bIns="0">
                      <a:spAutoFit/>
                    </wps:bodyPr>
                  </wps:wsp>
                </a:graphicData>
              </a:graphic>
            </wp:anchor>
          </w:drawing>
        </mc:Choice>
        <mc:Fallback>
          <w:pict>
            <v:shape id="_x0000_s1033" type="#_x0000_t202" style="position:absolute;margin-left:70.200000000000003pt;margin-top:790.10000000000002pt;width:56.899999999999999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2026-11864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3927475</wp:posOffset>
              </wp:positionH>
              <wp:positionV relativeFrom="page">
                <wp:posOffset>699135</wp:posOffset>
              </wp:positionV>
              <wp:extent cx="60960" cy="67310"/>
              <wp:wrapNone/>
              <wp:docPr id="3" name="Shape 3"/>
              <a:graphic xmlns:a="http://schemas.openxmlformats.org/drawingml/2006/main">
                <a:graphicData uri="http://schemas.microsoft.com/office/word/2010/wordprocessingShape">
                  <wps:wsp>
                    <wps:cNvSpPr txBox="1"/>
                    <wps:spPr>
                      <a:xfrm>
                        <a:ext cx="60960"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25pt;margin-top:55.050000000000004pt;width:4.7999999999999998pt;height:5.2999999999999998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Body text (3)_"/>
    <w:basedOn w:val="DefaultParagraphFont"/>
    <w:link w:val="Style16"/>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Body text (3)"/>
    <w:basedOn w:val="Normal"/>
    <w:link w:val="CharStyle17"/>
    <w:pPr>
      <w:widowControl w:val="0"/>
      <w:shd w:val="clear" w:color="auto" w:fill="auto"/>
      <w:spacing w:after="44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