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619" w:h="1325" w:wrap="none" w:hAnchor="page" w:x="1429" w:y="1124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framePr w:w="3619" w:h="1325" w:wrap="none" w:hAnchor="page" w:x="1429" w:y="1124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5"/>
          <w:b/>
          <w:bCs/>
        </w:rPr>
        <w:t>УПРАВЛЕНИЕ</w:t>
        <w:br/>
        <w:t>Федеральной антимонопольной службы</w:t>
        <w:br/>
        <w:t>по Тюменской области</w:t>
      </w:r>
    </w:p>
    <w:p>
      <w:pPr>
        <w:pStyle w:val="Style4"/>
        <w:keepNext w:val="0"/>
        <w:keepLines w:val="0"/>
        <w:framePr w:w="3754" w:h="1253" w:wrap="none" w:hAnchor="page" w:x="1290" w:y="2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>625048, г. Тюмень, ул. Холодильная, 58а</w:t>
        <w:br/>
        <w:t>тел. (3452) 50-31-55, факс (3452) 50-59-14</w:t>
      </w:r>
    </w:p>
    <w:p>
      <w:pPr>
        <w:pStyle w:val="Style2"/>
        <w:keepNext w:val="0"/>
        <w:keepLines w:val="0"/>
        <w:framePr w:w="3754" w:h="1253" w:wrap="none" w:hAnchor="page" w:x="1290" w:y="2612"/>
        <w:widowControl w:val="0"/>
        <w:shd w:val="clear" w:color="auto" w:fill="auto"/>
        <w:bidi w:val="0"/>
        <w:spacing w:before="0" w:after="200" w:line="271" w:lineRule="auto"/>
        <w:ind w:left="110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"mailto:to72@fas.gov.ra" </w:instrText>
      </w:r>
      <w:r>
        <w:fldChar w:fldCharType="separate"/>
      </w:r>
      <w:r>
        <w:rPr>
          <w:rStyle w:val="CharStyle3"/>
          <w:lang w:val="en-US" w:eastAsia="en-US"/>
        </w:rPr>
        <w:t>to72@fas.gov.ra</w:t>
      </w:r>
      <w:r>
        <w:fldChar w:fldCharType="end"/>
      </w:r>
    </w:p>
    <w:p>
      <w:pPr>
        <w:pStyle w:val="Style8"/>
        <w:keepNext/>
        <w:keepLines/>
        <w:framePr w:w="3754" w:h="1253" w:wrap="none" w:hAnchor="page" w:x="1290" w:y="2612"/>
        <w:widowControl w:val="0"/>
        <w:shd w:val="clear" w:color="auto" w:fill="auto"/>
        <w:tabs>
          <w:tab w:pos="1819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9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5.05.2026</w:t>
      </w:r>
      <w:r>
        <w:fldChar w:fldCharType="end"/>
      </w:r>
      <w:r>
        <w:rPr>
          <w:rStyle w:val="CharStyle9"/>
        </w:rPr>
        <w:tab/>
        <w:t>№ -/3057/26</w:t>
      </w:r>
      <w:bookmarkEnd w:id="0"/>
    </w:p>
    <w:p>
      <w:pPr>
        <w:pStyle w:val="Style4"/>
        <w:keepNext w:val="0"/>
        <w:keepLines w:val="0"/>
        <w:framePr w:w="4157" w:h="1123" w:wrap="none" w:hAnchor="page" w:x="1102" w:y="4148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5"/>
        </w:rPr>
        <w:t xml:space="preserve">На №  от</w:t>
      </w:r>
    </w:p>
    <w:p>
      <w:pPr>
        <w:pStyle w:val="Style10"/>
        <w:keepNext w:val="0"/>
        <w:keepLines w:val="0"/>
        <w:framePr w:w="4157" w:h="1123" w:wrap="none" w:hAnchor="page" w:x="1102" w:y="41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О направлении решения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АО «Сбербанк-АСТ»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ул. Большой Саввинский переулок д. 12 строен. 9, г. Москва, 119435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ГБУЗ ТО «Областная клиническая больница № 2»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ул. Мельникайте д. 75, г. Тюмень, 625039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Управление государственных закупок Тюменской области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ул. Республики д. 24, г. Тюмень, 625003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ООО «Дельтамед» проспект Карла Маркса д. 30/1, оф. 329, г. Новосибирск, 630087</w:t>
      </w:r>
    </w:p>
    <w:p>
      <w:pPr>
        <w:pStyle w:val="Style12"/>
        <w:keepNext w:val="0"/>
        <w:keepLines w:val="0"/>
        <w:framePr w:w="4867" w:h="7157" w:wrap="none" w:hAnchor="page" w:x="6406" w:y="947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ООО «Торговый дом завода медицинских изделий» проезд Мирный д. 30, стр. 1, с. Мальково, Тюменская область, 625517</w:t>
      </w:r>
    </w:p>
    <w:p>
      <w:pPr>
        <w:pStyle w:val="Style12"/>
        <w:keepNext w:val="0"/>
        <w:keepLines w:val="0"/>
        <w:framePr w:w="4210" w:h="331" w:wrap="none" w:hAnchor="page" w:x="4131" w:y="8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b/>
          <w:bCs/>
        </w:rPr>
        <w:t>РЕШЕНИЕ № 072/06/44/101/2026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1787525</wp:posOffset>
            </wp:positionH>
            <wp:positionV relativeFrom="margin">
              <wp:posOffset>0</wp:posOffset>
            </wp:positionV>
            <wp:extent cx="530225" cy="6032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545" w:bottom="1221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6411595</wp:posOffset>
                </wp:positionH>
                <wp:positionV relativeFrom="paragraph">
                  <wp:posOffset>12700</wp:posOffset>
                </wp:positionV>
                <wp:extent cx="76835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Тюмень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4.85000000000002pt;margin-top:1.pt;width:60.5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Тюмень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14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– Комиссия, антимонопольный орган)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Председатель комиссии – заместитель начальника отдела контроля закупок Логинова Н.В.,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Главный специалист-эксперт отдела контроля закупок Назаров И.Г.,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Ведущий специалист-эксперт отдела контроля закупок Романенко В.В.,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 участием представителей заказчика: ГБУЗ ТО «Областная клиническая больница № 2» (далее – заказчик), Кужиковой Л.Ю. по доверенности № 88/20 от 23.04.2026,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 участием представителя уполномоченного органа: Управления государственных закупок Тюменской области (далее – уполномоченный орган) Жуковой И.А. по доверенности № 13 от 23.08.2025,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3"/>
        </w:rPr>
        <w:t>с участием представителей заявителя: ООО «Дельтамед» (далее – заявитель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 xml:space="preserve">III Illi Illi III III Illi </w:t>
      </w:r>
      <w:r>
        <w:rPr>
          <w:rStyle w:val="CharStyle19"/>
          <w:lang w:val="ru-RU" w:eastAsia="ru-RU"/>
        </w:rPr>
        <w:t>II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Общество), Коростелевой О.С. по доверенности </w:t>
      </w:r>
      <w:r>
        <w:rPr>
          <w:rStyle w:val="CharStyle13"/>
          <w:lang w:val="en-US" w:eastAsia="en-US"/>
        </w:rPr>
        <w:t xml:space="preserve">№ 3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01.08.2025, </w:t>
      </w:r>
      <w:r>
        <w:rPr>
          <w:rStyle w:val="CharStyle13"/>
        </w:rPr>
        <w:t xml:space="preserve">Коробова Э.В. по доверенности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>01.08.2025,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 участием представителя победителя закупки: ООО «Торговый дом завода медицинских изделий»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победитель закупки) Беспятовой О.А. по доверенности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б/н от </w:t>
      </w:r>
      <w:r>
        <w:rPr>
          <w:rStyle w:val="CharStyle13"/>
          <w:lang w:val="en-US" w:eastAsia="en-US"/>
        </w:rPr>
        <w:t>09.01.2026,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 xml:space="preserve">рассмотрев в дистанционном режиме посредством плагина видеоконференции </w:t>
      </w:r>
      <w:r>
        <w:rPr>
          <w:rStyle w:val="CharStyle13"/>
          <w:lang w:val="en-US" w:eastAsia="en-US"/>
        </w:rPr>
        <w:t xml:space="preserve">TrueConf </w:t>
      </w:r>
      <w:r>
        <w:rPr>
          <w:rStyle w:val="CharStyle13"/>
        </w:rPr>
        <w:t xml:space="preserve">в порядке, предусмотренном главой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по тексту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Закон о контрактной системе, Закон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44-ФЗ), жалобу ООО «Дельтамед» на действия заказчика ГБУЗ ТО «Областная клиническая больница </w:t>
      </w:r>
      <w:r>
        <w:rPr>
          <w:rStyle w:val="CharStyle13"/>
          <w:lang w:val="en-US" w:eastAsia="en-US"/>
        </w:rPr>
        <w:t xml:space="preserve">№ 2» </w:t>
      </w:r>
      <w:r>
        <w:rPr>
          <w:rStyle w:val="CharStyle13"/>
        </w:rPr>
        <w:t xml:space="preserve">при проведении электронного аукциона на поставку медицинских изделий для отделения РХМДиЛ (реестровый номер закупки </w:t>
      </w:r>
      <w:r>
        <w:rPr>
          <w:rStyle w:val="CharStyle13"/>
          <w:lang w:val="en-US" w:eastAsia="en-US"/>
        </w:rPr>
        <w:t>0167200003426003728),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Тюменской области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Тюменское УФАС России) поступила жалоба ООО «Дельтамед» на действия заказчика ГБУЗ ТО «Областная клиническая больница </w:t>
      </w:r>
      <w:r>
        <w:rPr>
          <w:rStyle w:val="CharStyle13"/>
          <w:lang w:val="en-US" w:eastAsia="en-US"/>
        </w:rPr>
        <w:t xml:space="preserve">№ 2» </w:t>
      </w:r>
      <w:r>
        <w:rPr>
          <w:rStyle w:val="CharStyle13"/>
        </w:rPr>
        <w:t>при проведении электронного аукциона на поставку медицинских изделий для отделения РХМДиЛ.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Указанная жалоба заявителя признана соответствующей требованиям предусмотренным статьёй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 xml:space="preserve">Закона о контрактной системе, и принята к рассмотрению. Во исполнение требований части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 xml:space="preserve">Закона о контрактной системе информация о содержании поступившей жалобы, времени и месте ее рассмотрения размещены в реестре жалоб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3"/>
          <w:lang w:val="en-US" w:eastAsia="en-US"/>
        </w:rPr>
        <w:t>(www.zakupki.gov.ru</w:t>
      </w:r>
      <w:r>
        <w:fldChar w:fldCharType="end"/>
      </w:r>
      <w:r>
        <w:rPr>
          <w:rStyle w:val="CharStyle13"/>
          <w:lang w:val="en-US" w:eastAsia="en-US"/>
        </w:rPr>
        <w:t>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 мнению заявителя, закупаемый заказчиком товар, не мог быть отнесен к пункту </w:t>
      </w:r>
      <w:r>
        <w:rPr>
          <w:rStyle w:val="CharStyle13"/>
          <w:lang w:val="en-US" w:eastAsia="en-US"/>
        </w:rPr>
        <w:t xml:space="preserve">385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по которому заказчиком в извещении об осуществлении закупки должна устанавливаться «защитная мера» национального режима поскольку отсутствует совпадение как кода ОКПД2, так и наименования закупаемого товара, поскольку в пункте </w:t>
      </w:r>
      <w:r>
        <w:rPr>
          <w:rStyle w:val="CharStyle13"/>
          <w:lang w:val="en-US" w:eastAsia="en-US"/>
        </w:rPr>
        <w:t xml:space="preserve">385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речь идёт о шприцах, а не шприцах-манометрах имеющих отличающуюся от шприца конструкцию, а также отличающееся назначение.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Уполномоченным органом, заказчиком и победителем закупки представлены возражения на жалобу заявителя, считают жалобу заявителя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Заседание Комиссии Тюменского УФАС России по рассмотрению жалобы заявителя было назначено на </w:t>
      </w:r>
      <w:r>
        <w:rPr>
          <w:rStyle w:val="CharStyle13"/>
          <w:lang w:val="en-US" w:eastAsia="en-US"/>
        </w:rPr>
        <w:t xml:space="preserve">13.05.2026 </w:t>
      </w:r>
      <w:r>
        <w:rPr>
          <w:rStyle w:val="CharStyle13"/>
        </w:rPr>
        <w:t xml:space="preserve">(время: </w:t>
      </w:r>
      <w:r>
        <w:rPr>
          <w:rStyle w:val="CharStyle13"/>
          <w:lang w:val="en-US" w:eastAsia="en-US"/>
        </w:rPr>
        <w:t xml:space="preserve">15:00). </w:t>
      </w:r>
      <w:r>
        <w:rPr>
          <w:rStyle w:val="CharStyle13"/>
        </w:rPr>
        <w:t xml:space="preserve">В целях дополнительного выяснения обстоятельств дела, Комиссией Тюменского УФАС России объявлен перерыв до </w:t>
      </w:r>
      <w:r>
        <w:rPr>
          <w:rStyle w:val="CharStyle13"/>
          <w:lang w:val="en-US" w:eastAsia="en-US"/>
        </w:rPr>
        <w:t xml:space="preserve">14.05.2026 </w:t>
      </w:r>
      <w:r>
        <w:rPr>
          <w:rStyle w:val="CharStyle13"/>
        </w:rPr>
        <w:t xml:space="preserve">(время: </w:t>
      </w:r>
      <w:r>
        <w:rPr>
          <w:rStyle w:val="CharStyle13"/>
          <w:lang w:val="en-US" w:eastAsia="en-US"/>
        </w:rPr>
        <w:t xml:space="preserve">16:00), </w:t>
      </w:r>
      <w:r>
        <w:rPr>
          <w:rStyle w:val="CharStyle13"/>
        </w:rPr>
        <w:t>после объявленного перерыва Комиссией Тюменского УФАС России оглашена резолютивная часть принятого решения по делу.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>Исследовав материалы дела, заслушав представителей сторон и оценив в совокупности представленные документы, Комиссия Тюменского УФАС России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результатам проведенной внеплановой проверки по жалобе заявителя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Закона о контрактной системе предусмотрено, что закупка товара, работы, услуги для обеспечения государственных или муниципальных нужд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закупка)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>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конкурентные способы) или осуществляют закупки у единственного поставщика (подрядчика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предусмотрено,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иностранное лицо), равные условия с товаром российского происхождения, работой, услугой, соответственно выполняемой оказываемой российским гражданином или российским юридическим лицом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российское лицо), за исключением случаев принятия Правительством РФ мер предусмотренных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настоящей статьи. Если иное не предусмотрено мерами, принятыми Правительством РФ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 предусмотрено, что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Правительство Российской Федерации вправе с учетом положений 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настоящей статьи принимать меры, устанавливающие: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предусмотрено, что Правительство РФ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части.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Во исполнение 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принято Постановление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 услуг для обеспечения государственных и муниципальных нужд, закупок товаров работ, услуг отдельными видами юридических лиц».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предусмотрено, что при осуществлении закупок применяются: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иностранные лица), по перечню согласно приложению </w:t>
      </w:r>
      <w:r>
        <w:rPr>
          <w:rStyle w:val="CharStyle13"/>
          <w:lang w:val="en-US" w:eastAsia="en-US"/>
        </w:rPr>
        <w:t xml:space="preserve">№ 1, </w:t>
      </w:r>
      <w:r>
        <w:rPr>
          <w:rStyle w:val="CharStyle13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 работ, услуг, соответственно выполняемых, оказываемых иностранными лицами;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3"/>
          <w:lang w:val="en-US" w:eastAsia="en-US"/>
        </w:rPr>
        <w:t>№ 2;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3.1 </w:t>
      </w:r>
      <w:r>
        <w:rPr>
          <w:rStyle w:val="CharStyle13"/>
        </w:rPr>
        <w:t xml:space="preserve">информационного письма Министерства финансов РФ от </w:t>
      </w:r>
      <w:r>
        <w:rPr>
          <w:rStyle w:val="CharStyle13"/>
          <w:lang w:val="en-US" w:eastAsia="en-US"/>
        </w:rPr>
        <w:t xml:space="preserve">31.01.2025 № 24-01-06/8697 </w:t>
      </w:r>
      <w:r>
        <w:rPr>
          <w:rStyle w:val="CharStyle13"/>
        </w:rPr>
        <w:t xml:space="preserve">«О применении положений постановления Правительства Российской Федерации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товаров, работ, услуг для обеспечения государственных и муниципальных нужд закупок товаров, работ, услуг отдельными видами юридических лиц»: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запрет применяется в отношении товаров, работ, услуг, указанных в приложении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>23.12.2024 № 1875;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ограничение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товаров, указанных в приложении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>23.12.2024 № 1875;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преимущество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товаров, не указанных в перечне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>№ 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 материалов дела усматривается, что Управление государственных закупок Тюменской области являясь уполномоченным органом, выступило организатором проведения электронного аукциона на поставку медицинских изделий для отделения РХМДиЛ, с начальной (максимальной) ценой контракта </w:t>
      </w:r>
      <w:r>
        <w:rPr>
          <w:rStyle w:val="CharStyle13"/>
          <w:lang w:val="en-US" w:eastAsia="en-US"/>
        </w:rPr>
        <w:t xml:space="preserve">3 150 000,00 </w:t>
      </w:r>
      <w:r>
        <w:rPr>
          <w:rStyle w:val="CharStyle13"/>
        </w:rPr>
        <w:t xml:space="preserve">рублей, в интересах заказчика ГБУЗ ТО «Областная клиническая больница </w:t>
      </w:r>
      <w:r>
        <w:rPr>
          <w:rStyle w:val="CharStyle13"/>
          <w:lang w:val="en-US" w:eastAsia="en-US"/>
        </w:rPr>
        <w:t>№ 2»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Информация об электронном аукционе была размещена </w:t>
      </w:r>
      <w:r>
        <w:rPr>
          <w:rStyle w:val="CharStyle13"/>
          <w:lang w:val="en-US" w:eastAsia="en-US"/>
        </w:rPr>
        <w:t xml:space="preserve">29.04.2026 </w:t>
      </w:r>
      <w:r>
        <w:rPr>
          <w:rStyle w:val="CharStyle13"/>
        </w:rPr>
        <w:t xml:space="preserve">на официальном сайте ЕИС в сфере закупок: </w:t>
      </w:r>
      <w:r>
        <w:fldChar w:fldCharType="begin"/>
      </w:r>
      <w:r>
        <w:rPr/>
        <w:instrText> HYPERLINK "http://zakupki.gov.ru" </w:instrText>
      </w:r>
      <w:r>
        <w:fldChar w:fldCharType="separate"/>
      </w:r>
      <w:r>
        <w:rPr>
          <w:rStyle w:val="CharStyle13"/>
          <w:lang w:val="en-US" w:eastAsia="en-US"/>
        </w:rPr>
        <w:t>http://zakupki.gov.ru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rPr>
          <w:rStyle w:val="CharStyle13"/>
        </w:rPr>
        <w:t xml:space="preserve">с реестровым номером закупки </w:t>
      </w:r>
      <w:r>
        <w:rPr>
          <w:rStyle w:val="CharStyle13"/>
          <w:lang w:val="en-US" w:eastAsia="en-US"/>
        </w:rPr>
        <w:t>0167200003426003728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Адрес электронной площадки в информационно-телекоммуникационной сети «Интернет» определенной для проведения закупки </w:t>
      </w:r>
      <w:r>
        <w:fldChar w:fldCharType="begin"/>
      </w:r>
      <w:r>
        <w:rPr/>
        <w:instrText> HYPERLINK "http://www.sberbank-ast.ru" </w:instrText>
      </w:r>
      <w:r>
        <w:fldChar w:fldCharType="separate"/>
      </w:r>
      <w:r>
        <w:rPr>
          <w:rStyle w:val="CharStyle13"/>
          <w:lang w:val="en-US" w:eastAsia="en-US"/>
        </w:rPr>
        <w:t>http://www.sberbank-ast.ru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Объектом закупки является поставка медицинских изделий для отделения РХМДиЛ. Объект закупки отнесен к коду ОКПД2: </w:t>
      </w:r>
      <w:r>
        <w:rPr>
          <w:rStyle w:val="CharStyle13"/>
          <w:lang w:val="en-US" w:eastAsia="en-US"/>
        </w:rPr>
        <w:t xml:space="preserve">32.50.13.110, </w:t>
      </w:r>
      <w:r>
        <w:rPr>
          <w:rStyle w:val="CharStyle13"/>
        </w:rPr>
        <w:t xml:space="preserve">КТРУ: </w:t>
      </w:r>
      <w:r>
        <w:rPr>
          <w:rStyle w:val="CharStyle13"/>
          <w:lang w:val="en-US" w:eastAsia="en-US"/>
        </w:rPr>
        <w:t>32.50.13.110</w:t>
        <w:softHyphen/>
        <w:t xml:space="preserve">00969 </w:t>
      </w:r>
      <w:r>
        <w:rPr>
          <w:rStyle w:val="CharStyle13"/>
        </w:rPr>
        <w:t xml:space="preserve">«Шприц-манометр для баллонного катетера, одноразового использования» Согласно приложению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к извещению об осуществлении закупки к поставке требуется шприц-манометр для баллонного катетера, одноразового использования </w:t>
      </w:r>
      <w:r>
        <w:rPr>
          <w:rStyle w:val="CharStyle13"/>
          <w:lang w:val="en-US" w:eastAsia="en-US"/>
        </w:rPr>
        <w:t xml:space="preserve">700 </w:t>
      </w:r>
      <w:r>
        <w:rPr>
          <w:rStyle w:val="CharStyle13"/>
        </w:rPr>
        <w:t>шт.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позицией </w:t>
      </w:r>
      <w:r>
        <w:rPr>
          <w:rStyle w:val="CharStyle13"/>
          <w:lang w:val="en-US" w:eastAsia="en-US"/>
        </w:rPr>
        <w:t xml:space="preserve">385 </w:t>
      </w:r>
      <w:r>
        <w:rPr>
          <w:rStyle w:val="CharStyle13"/>
        </w:rPr>
        <w:t xml:space="preserve">перечня 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заказчиком в извещении об осуществлении закупки установлена «защитная мера» национального режима в виде ограничения закупок товаров, происходящих из иностранных государств, выполняемых работ оказываемых услуг иностранными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Подпунктом «д» пункта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предусмотрено, что позиции приложения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к настоящему постановлению и 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настоящему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3"/>
          <w:lang w:val="en-US" w:eastAsia="en-US"/>
        </w:rPr>
        <w:t xml:space="preserve">034-2014 </w:t>
      </w:r>
      <w:r>
        <w:rPr>
          <w:rStyle w:val="CharStyle13"/>
        </w:rPr>
        <w:t xml:space="preserve">(КПЕС </w:t>
      </w:r>
      <w:r>
        <w:rPr>
          <w:rStyle w:val="CharStyle13"/>
          <w:lang w:val="en-US" w:eastAsia="en-US"/>
        </w:rPr>
        <w:t xml:space="preserve">2008)», </w:t>
      </w:r>
      <w:r>
        <w:rPr>
          <w:rStyle w:val="CharStyle13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13"/>
          <w:lang w:val="en-US" w:eastAsia="en-US"/>
        </w:rPr>
        <w:t xml:space="preserve">034-2014 </w:t>
      </w:r>
      <w:r>
        <w:rPr>
          <w:rStyle w:val="CharStyle13"/>
        </w:rPr>
        <w:t xml:space="preserve">(КПЕС </w:t>
      </w:r>
      <w:r>
        <w:rPr>
          <w:rStyle w:val="CharStyle13"/>
          <w:lang w:val="en-US" w:eastAsia="en-US"/>
        </w:rPr>
        <w:t xml:space="preserve">2008)». </w:t>
      </w:r>
      <w:r>
        <w:rPr>
          <w:rStyle w:val="CharStyle13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 работы, услуги» или графе «Наименование товара»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заседании Комиссии Тюменского УФАС России представитель заказчика пояснила, что перечень ОКПД2 не содержит отдельного кода ОКПД2 на требуемые заказчику шприцы-манометры. Код ОКПД2 </w:t>
      </w:r>
      <w:r>
        <w:rPr>
          <w:rStyle w:val="CharStyle13"/>
          <w:lang w:val="en-US" w:eastAsia="en-US"/>
        </w:rPr>
        <w:t xml:space="preserve">32.50.13.110 </w:t>
      </w:r>
      <w:r>
        <w:rPr>
          <w:rStyle w:val="CharStyle13"/>
        </w:rPr>
        <w:t>не содержит исключения по наименованию на шприц-манометр. Поэтому заказчиком определен код ОКПД2 соответствующий наименованию товара и его характеристикам.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письмам Федеральной службы по надзору в сфере здравоохранения от </w:t>
      </w:r>
      <w:r>
        <w:rPr>
          <w:rStyle w:val="CharStyle13"/>
          <w:lang w:val="en-US" w:eastAsia="en-US"/>
        </w:rPr>
        <w:t xml:space="preserve">28.02.2025 № 10-10959/25,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16.09.2025 № 10-56055/25 </w:t>
      </w:r>
      <w:r>
        <w:rPr>
          <w:rStyle w:val="CharStyle13"/>
        </w:rPr>
        <w:t xml:space="preserve">позиция </w:t>
      </w:r>
      <w:r>
        <w:rPr>
          <w:rStyle w:val="CharStyle13"/>
          <w:lang w:val="en-US" w:eastAsia="en-US"/>
        </w:rPr>
        <w:t xml:space="preserve">385 </w:t>
      </w:r>
      <w:r>
        <w:rPr>
          <w:rStyle w:val="CharStyle13"/>
        </w:rPr>
        <w:t xml:space="preserve">«Иглы хирургические; инструменты колющие; шприцы» 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Постановлению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применима для медицинских изделий относящихся к кодам НКМИ </w:t>
      </w:r>
      <w:r>
        <w:rPr>
          <w:rStyle w:val="CharStyle13"/>
          <w:lang w:val="en-US" w:eastAsia="en-US"/>
        </w:rPr>
        <w:t xml:space="preserve">165000 </w:t>
      </w:r>
      <w:r>
        <w:rPr>
          <w:rStyle w:val="CharStyle13"/>
        </w:rPr>
        <w:t xml:space="preserve">«Шприц-манометр для баллонного катетера/внешней трубки эндоскопа, одноразового использования» и </w:t>
      </w:r>
      <w:r>
        <w:rPr>
          <w:rStyle w:val="CharStyle13"/>
          <w:lang w:val="en-US" w:eastAsia="en-US"/>
        </w:rPr>
        <w:t xml:space="preserve">165020 </w:t>
      </w:r>
      <w:r>
        <w:rPr>
          <w:rStyle w:val="CharStyle13"/>
        </w:rPr>
        <w:t>«Шприц-манометр для баллонного катетера/внешней трубки эндоскопа многоразового использования».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Письмом Министерства промышленности и торговли РФ </w:t>
      </w:r>
      <w:r>
        <w:rPr>
          <w:rStyle w:val="CharStyle13"/>
          <w:lang w:val="en-US" w:eastAsia="en-US"/>
        </w:rPr>
        <w:t xml:space="preserve">№ 84334/19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30.07.2025 </w:t>
      </w:r>
      <w:r>
        <w:rPr>
          <w:rStyle w:val="CharStyle13"/>
        </w:rPr>
        <w:t xml:space="preserve">также подтверждается тот факт, что медицинское изделие с кодом НКМИ </w:t>
      </w:r>
      <w:r>
        <w:rPr>
          <w:rStyle w:val="CharStyle13"/>
          <w:lang w:val="en-US" w:eastAsia="en-US"/>
        </w:rPr>
        <w:t xml:space="preserve">165000 </w:t>
      </w:r>
      <w:r>
        <w:rPr>
          <w:rStyle w:val="CharStyle13"/>
        </w:rPr>
        <w:t xml:space="preserve">относится к категории шприцев и в соответствии с письмом Министерства здравоохранения РФ от </w:t>
      </w:r>
      <w:r>
        <w:rPr>
          <w:rStyle w:val="CharStyle13"/>
          <w:lang w:val="en-US" w:eastAsia="en-US"/>
        </w:rPr>
        <w:t xml:space="preserve">28.12.2024 № </w:t>
      </w:r>
      <w:r>
        <w:rPr>
          <w:rStyle w:val="CharStyle13"/>
        </w:rPr>
        <w:t xml:space="preserve">25-3/И/2-26196 закупки медицинского изделия с кодом НКМИ </w:t>
      </w:r>
      <w:r>
        <w:rPr>
          <w:rStyle w:val="CharStyle13"/>
          <w:lang w:val="en-US" w:eastAsia="en-US"/>
        </w:rPr>
        <w:t xml:space="preserve">165000 </w:t>
      </w:r>
      <w:r>
        <w:rPr>
          <w:rStyle w:val="CharStyle13"/>
        </w:rPr>
        <w:t>осуществляются системой здравоохранения как закупки шприцев.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Шприц-манометр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это специальный шприц, состоящий из цилиндра, поршня и плунжера (уплотнителя), имеет градуировку, дополнительно оснащен манометром поскольку используется в различных областях медицины, где требуется точный контроль давления при проведении интервенционных процедур: кардиология урология, нейрохирургия, гастроэнтерология, сосудистая хирургия.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Тюменского УФАС России поддерживает доводы заказчика и уполномоченного органа, что соответствующая «защитная мера» национального режима распространяется на все товары, указанные в позиции </w:t>
      </w:r>
      <w:r>
        <w:rPr>
          <w:rStyle w:val="CharStyle13"/>
          <w:lang w:val="en-US" w:eastAsia="en-US"/>
        </w:rPr>
        <w:t xml:space="preserve">385 </w:t>
      </w:r>
      <w:r>
        <w:rPr>
          <w:rStyle w:val="CharStyle13"/>
        </w:rPr>
        <w:t xml:space="preserve">перечня 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включенные в группировку по ОКПД2, то есть, на все шприцы в рассматриваемом случае, обратного заявителем не доказано.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Комиссией Тюменского УФАС России установлено, что в перечень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включен код ОКПД2: </w:t>
      </w:r>
      <w:r>
        <w:rPr>
          <w:rStyle w:val="CharStyle13"/>
          <w:lang w:val="en-US" w:eastAsia="en-US"/>
        </w:rPr>
        <w:t xml:space="preserve">32.50.13.110 </w:t>
      </w:r>
      <w:r>
        <w:rPr>
          <w:rStyle w:val="CharStyle13"/>
        </w:rPr>
        <w:t xml:space="preserve">«Иглы хирургические; инструменты колющие; шприцы» (позиция </w:t>
      </w:r>
      <w:r>
        <w:rPr>
          <w:rStyle w:val="CharStyle13"/>
          <w:lang w:val="en-US" w:eastAsia="en-US"/>
        </w:rPr>
        <w:t xml:space="preserve">385) </w:t>
      </w:r>
      <w:r>
        <w:rPr>
          <w:rStyle w:val="CharStyle13"/>
        </w:rPr>
        <w:t xml:space="preserve">в отношении которого заказчикам надлежит устанавливать ограничения допуска товаров происходящих из иностранных государств для целей осуществления закупок для обеспечения государственных и муниципальных нужд (утв Постановлением Правительства РФ от </w:t>
      </w:r>
      <w:r>
        <w:rPr>
          <w:rStyle w:val="CharStyle13"/>
          <w:lang w:val="en-US" w:eastAsia="en-US"/>
        </w:rPr>
        <w:t xml:space="preserve">23.12.2024 № 1875), </w:t>
      </w:r>
      <w:r>
        <w:rPr>
          <w:rStyle w:val="CharStyle13"/>
        </w:rPr>
        <w:t>в связи с чем жалобу заявителя Комиссия Тюменского УФАС России признает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Тюменского УФАС России по результатам рассмотрения всех доводов жалобы заявителя, проведения на основании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в полном объеме внеплановой проверки всех без исключения положений извещения об осуществлении закупки (не ограничиваясь доводами жалобы заявителя), а также изучила все электронные отчеты, полученные из ГИС «Независимый регистратор» не установила каких-либо иных признаков нарушения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законодательства о контрактной системе и полагает необходимым признать жалобу заявителя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изложенного, руководствуясь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>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 xml:space="preserve">Признать жалобу ООО «Дельтамед» </w:t>
      </w:r>
      <w:r>
        <w:rPr>
          <w:rStyle w:val="CharStyle13"/>
          <w:b/>
          <w:bCs/>
        </w:rPr>
        <w:t>необоснованной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7" w:bottom="1183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088" w:h="398" w:wrap="none" w:vAnchor="text" w:hAnchor="page" w:x="1164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20"/>
        <w:keepNext w:val="0"/>
        <w:keepLines w:val="0"/>
        <w:framePr w:w="2928" w:h="398" w:wrap="none" w:vAnchor="text" w:hAnchor="page" w:x="116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Председатель комиссии</w:t>
      </w:r>
    </w:p>
    <w:p>
      <w:pPr>
        <w:widowControl w:val="0"/>
        <w:spacing w:line="360" w:lineRule="exact"/>
      </w:pPr>
      <w:r>
        <w:drawing>
          <wp:anchor distT="57785" distB="0" distL="1959610" distR="0" simplePos="0" relativeHeight="62914695" behindDoc="1" locked="0" layoutInCell="1" allowOverlap="1">
            <wp:simplePos x="0" y="0"/>
            <wp:positionH relativeFrom="page">
              <wp:posOffset>2701290</wp:posOffset>
            </wp:positionH>
            <wp:positionV relativeFrom="paragraph">
              <wp:posOffset>70485</wp:posOffset>
            </wp:positionV>
            <wp:extent cx="3407410" cy="306006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07410" cy="3060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97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10013315</wp:posOffset>
              </wp:positionV>
              <wp:extent cx="65532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2026-3463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45000000000005pt;width:51.60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2026-3463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2026-3463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60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2026-3463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7"/>
      <w:szCs w:val="17"/>
      <w:u w:val="none"/>
    </w:rPr>
  </w:style>
  <w:style w:type="character" w:customStyle="1" w:styleId="CharStyle5">
    <w:name w:val="Body text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9"/>
      <w:szCs w:val="19"/>
      <w:u w:val="none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95" w:lineRule="auto"/>
      <w:ind w:left="55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7"/>
      <w:szCs w:val="17"/>
      <w:u w:val="none"/>
    </w:rPr>
  </w:style>
  <w:style w:type="paragraph" w:customStyle="1" w:styleId="Style4">
    <w:name w:val="Body text (2)"/>
    <w:basedOn w:val="Normal"/>
    <w:link w:val="CharStyle5"/>
    <w:pPr>
      <w:widowControl w:val="0"/>
      <w:shd w:val="clear" w:color="auto" w:fill="auto"/>
      <w:spacing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9"/>
      <w:szCs w:val="19"/>
      <w:u w:val="none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10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