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816610" distL="114300" distR="129540" simplePos="0" relativeHeight="125829379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94615</wp:posOffset>
                </wp:positionV>
                <wp:extent cx="2609215" cy="180149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801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Адыгея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40, г. Майкоп, 385000</w:t>
                              <w:br/>
                              <w:t>тел. (8772) 57-05-22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9.05</w:t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ab/>
                              <w:t xml:space="preserve">№ </w:t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1056/26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550000000000004pt;margin-top:7.4500000000000002pt;width:205.45000000000002pt;height:141.84999999999999pt;z-index:-125829374;mso-wrap-distance-left:9.pt;mso-wrap-distance-right:10.200000000000001pt;mso-wrap-distance-bottom:64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Адыгея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40, г. Майкоп, 385000</w:t>
                        <w:br/>
                        <w:t>тел. (8772) 57-05-22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8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>9.05</w:t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ab/>
                        <w:t xml:space="preserve">№ </w:t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1056/26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435225" distB="0" distL="120650" distR="114300" simplePos="0" relativeHeight="125829381" behindDoc="0" locked="0" layoutInCell="1" allowOverlap="1">
            <wp:simplePos x="0" y="0"/>
            <wp:positionH relativeFrom="page">
              <wp:posOffset>711835</wp:posOffset>
            </wp:positionH>
            <wp:positionV relativeFrom="paragraph">
              <wp:posOffset>2529840</wp:posOffset>
            </wp:positionV>
            <wp:extent cx="262128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2078990</wp:posOffset>
                </wp:positionV>
                <wp:extent cx="2609215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2"/>
                                <w:rFonts w:ascii="Times New Roman" w:eastAsia="Times New Roman" w:hAnsi="Times New Roman" w:cs="Times New Roman"/>
                                <w:color w:val="46619A"/>
                                <w:sz w:val="19"/>
                                <w:szCs w:val="19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550000000000004pt;margin-top:163.70000000000002pt;width:205.45000000000002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2"/>
                          <w:rFonts w:ascii="Times New Roman" w:eastAsia="Times New Roman" w:hAnsi="Times New Roman" w:cs="Times New Roman"/>
                          <w:color w:val="46619A"/>
                          <w:sz w:val="19"/>
                          <w:szCs w:val="19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МОНОПОЛИЕМ ПЭППУЕКЮРЭ</w:t>
        <w:br/>
        <w:t>ФЕДЕРАЛЬНЭ КЪУЛЫКЪУР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Монополием пэшТуек1орэ</w:t>
        <w:br/>
        <w:t>Федеральнэ къулыкъум</w:t>
        <w:br/>
        <w:t>Адыгэ РеспублкэмкТэ и</w:t>
        <w:br/>
        <w:t>Г ъэ1орыш1ап!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Лениным иур.. 40, къ. Мыекъуапэ, 385000</w:t>
        <w:br/>
        <w:t>тел./факс: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0" w:right="0" w:firstLine="220"/>
        <w:jc w:val="left"/>
      </w:pPr>
      <w:r>
        <w:rPr>
          <w:rStyle w:val="CharStyle8"/>
        </w:rPr>
        <w:t xml:space="preserve">ООО «ВОСТОКМЕД» </w:t>
      </w:r>
      <w:r>
        <w:fldChar w:fldCharType="begin"/>
      </w:r>
      <w:r>
        <w:rPr/>
        <w:instrText> HYPERLINK "mailto:tendermed@internet.ru" </w:instrText>
      </w:r>
      <w:r>
        <w:fldChar w:fldCharType="separate"/>
      </w:r>
      <w:r>
        <w:rPr>
          <w:rStyle w:val="CharStyle8"/>
          <w:lang w:val="en-US" w:eastAsia="en-US"/>
        </w:rPr>
        <w:t>tendermed@internet.ru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500" w:right="0" w:firstLine="220"/>
        <w:jc w:val="left"/>
      </w:pPr>
      <w:r>
        <w:rPr>
          <w:rStyle w:val="CharStyle8"/>
        </w:rPr>
        <w:t xml:space="preserve">ГБУЗ РА «Тахтамукайская ЦРБ» </w:t>
      </w:r>
      <w:r>
        <w:fldChar w:fldCharType="begin"/>
      </w:r>
      <w:r>
        <w:rPr/>
        <w:instrText> HYPERLINK "mailto:taxt-zakupki@mail.ru" </w:instrText>
      </w:r>
      <w:r>
        <w:fldChar w:fldCharType="separate"/>
      </w:r>
      <w:r>
        <w:rPr>
          <w:rStyle w:val="CharStyle8"/>
          <w:lang w:val="en-US" w:eastAsia="en-US"/>
        </w:rPr>
        <w:t>taxt-zakupki@mail.ru</w:t>
      </w:r>
      <w:r>
        <w:fldChar w:fldCharType="end"/>
      </w:r>
      <w:r>
        <w:rPr>
          <w:rStyle w:val="CharStyle8"/>
          <w:lang w:val="en-US" w:eastAsia="en-US"/>
        </w:rPr>
        <w:t xml:space="preserve">; </w:t>
      </w:r>
      <w:r>
        <w:fldChar w:fldCharType="begin"/>
      </w:r>
      <w:r>
        <w:rPr/>
        <w:instrText> HYPERLINK "mailto:buh123123@mail.ru" </w:instrText>
      </w:r>
      <w:r>
        <w:fldChar w:fldCharType="separate"/>
      </w:r>
      <w:r>
        <w:rPr>
          <w:rStyle w:val="CharStyle8"/>
          <w:lang w:val="en-US" w:eastAsia="en-US"/>
        </w:rPr>
        <w:t>buh123123@mail.ru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 xml:space="preserve">по делу </w:t>
      </w:r>
      <w:r>
        <w:rPr>
          <w:rStyle w:val="CharStyle8"/>
          <w:lang w:val="en-US" w:eastAsia="en-US"/>
        </w:rPr>
        <w:t>№001/06/105-196/2026</w:t>
        <w:br/>
      </w:r>
      <w:r>
        <w:rPr>
          <w:rStyle w:val="CharStyle8"/>
        </w:rPr>
        <w:t>об итогах рассмотрения жалобы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6417310</wp:posOffset>
                </wp:positionH>
                <wp:positionV relativeFrom="paragraph">
                  <wp:posOffset>25400</wp:posOffset>
                </wp:positionV>
                <wp:extent cx="762000" cy="2070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г. Майкоп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5.30000000000001pt;margin-top:2.pt;width:60.pt;height:16.3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г. Майкоп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lang w:val="en-US" w:eastAsia="en-US"/>
        </w:rPr>
        <w:t>19.05.2026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 xml:space="preserve">Резолютивная часть оглашена: </w:t>
      </w:r>
      <w:r>
        <w:rPr>
          <w:rStyle w:val="CharStyle8"/>
          <w:lang w:val="en-US" w:eastAsia="en-US"/>
        </w:rPr>
        <w:t>14.05.2026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Комиссия УФАС) в составе: заместителя председателя Комиссии УФАС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Блягоза Р.Х., начальника отдела контроля закупок; членов Комиссии УФАС: Ситимова А.Ю., начальника отдела антимонопольного законодательства и законодательства о рекламе, Клюкиной Н.А., главного специалиста-эксперта отдела контроля закупок, с участием представителя ООО «ВОСТОКМЕД»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Заявитель) Фокичева С.С. (доверенность от </w:t>
      </w:r>
      <w:r>
        <w:rPr>
          <w:rStyle w:val="CharStyle8"/>
          <w:lang w:val="en-US" w:eastAsia="en-US"/>
        </w:rPr>
        <w:t xml:space="preserve">01.02.2026), </w:t>
      </w:r>
      <w:r>
        <w:rPr>
          <w:rStyle w:val="CharStyle8"/>
        </w:rPr>
        <w:t xml:space="preserve">рассмотрев жалобу Заявителя на действия Комиссии по осуществлению закупок Государственного бюджетного учреждения здравоохранения Республики Адыгея «Тахтамукайская центральная районная больница»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Комиссия Заказчика) при проведении запроса котировок в электронной форме </w:t>
      </w:r>
      <w:r>
        <w:rPr>
          <w:rStyle w:val="CharStyle8"/>
          <w:lang w:val="en-US" w:eastAsia="en-US"/>
        </w:rPr>
        <w:t xml:space="preserve">№0376300006626000057 </w:t>
      </w:r>
      <w:r>
        <w:rPr>
          <w:rStyle w:val="CharStyle8"/>
        </w:rPr>
        <w:t xml:space="preserve">на поставку расходных материалов для КДЛ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Запрос котировок, Извещение), проведя внеплановую проверку на основании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15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</w:t>
      </w:r>
      <w:r>
        <w:rPr>
          <w:rStyle w:val="CharStyle8"/>
        </w:rPr>
        <w:t xml:space="preserve">№44-ФЗ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УСТАНОВИЛА: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0" w:name="bookmark0"/>
      <w:r>
        <w:rPr>
          <w:rStyle w:val="CharStyle18"/>
        </w:rPr>
        <w:t xml:space="preserve">В Управление Федеральной антимонопольной службы по Республике Адыгея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Адыгейское УФАС России) </w:t>
      </w:r>
      <w:r>
        <w:rPr>
          <w:rStyle w:val="CharStyle18"/>
          <w:lang w:val="en-US" w:eastAsia="en-US"/>
        </w:rPr>
        <w:t xml:space="preserve">06.05.2026 </w:t>
      </w:r>
      <w:r>
        <w:rPr>
          <w:rStyle w:val="CharStyle18"/>
        </w:rPr>
        <w:t>поступила жалоба Заявителя, в которой указано, что заявка Заявителя была отклонена необоснованно.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462" w:right="536" w:bottom="1326" w:left="1106" w:header="34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8"/>
        </w:rPr>
        <w:t>На основании вышеизложенного Заявитель просит: рассмотреть жалобу ООО «Востокмед» на действия Комиссии Заказчика, совершенные при подведении итогов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определения поставщика (подрядчика, исполнителя); признать жалобу ООО «Востокмед» обоснованной; выдать Заказчику, Комиссии Заказчика, Оператору электронной площадки предписание об устранении выявленных нарушений Закон о контрактной системе.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" w:name="bookmark3"/>
      <w:r>
        <w:rPr>
          <w:rStyle w:val="CharStyle18"/>
        </w:rPr>
        <w:t xml:space="preserve">Заказчиком с исх. </w:t>
      </w:r>
      <w:r>
        <w:rPr>
          <w:rStyle w:val="CharStyle18"/>
          <w:lang w:val="en-US" w:eastAsia="en-US"/>
        </w:rPr>
        <w:t xml:space="preserve">№01-465-26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13.05.2026 </w:t>
      </w:r>
      <w:r>
        <w:rPr>
          <w:rStyle w:val="CharStyle18"/>
        </w:rPr>
        <w:t>представлено возражение на жалобу, в котором указано следующее:</w:t>
      </w:r>
      <w:bookmarkEnd w:id="3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" w:name="bookmark5"/>
      <w:r>
        <w:rPr>
          <w:rStyle w:val="CharStyle18"/>
        </w:rPr>
        <w:t xml:space="preserve">В наименовании предлагаемого товара Заявитель указывает: «Пробирки не вакуумные для взятия капиллярной крови одноразовые по ТУ </w:t>
      </w:r>
      <w:r>
        <w:rPr>
          <w:rStyle w:val="CharStyle18"/>
          <w:lang w:val="en-US" w:eastAsia="en-US"/>
        </w:rPr>
        <w:t>32.50.50-008</w:t>
        <w:softHyphen/>
        <w:t xml:space="preserve">54287340-2017: </w:t>
      </w:r>
      <w:r>
        <w:rPr>
          <w:rStyle w:val="CharStyle18"/>
        </w:rPr>
        <w:t xml:space="preserve">Пробирка не вакуумная для взятия капиллярной крови 013-046-К3Е- </w:t>
      </w:r>
      <w:r>
        <w:rPr>
          <w:rStyle w:val="CharStyle18"/>
          <w:lang w:val="en-US" w:eastAsia="en-US"/>
        </w:rPr>
        <w:t xml:space="preserve">2К-050-050-U04 </w:t>
      </w:r>
      <w:r>
        <w:rPr>
          <w:rStyle w:val="CharStyle18"/>
        </w:rPr>
        <w:t xml:space="preserve">(с наполнителем К3ЭДТА, с капилляром, с двумя крышками, объем забираемой крови </w:t>
      </w:r>
      <w:r>
        <w:rPr>
          <w:rStyle w:val="CharStyle18"/>
          <w:lang w:val="en-US" w:eastAsia="en-US"/>
        </w:rPr>
        <w:t xml:space="preserve">0,5 </w:t>
      </w:r>
      <w:r>
        <w:rPr>
          <w:rStyle w:val="CharStyle18"/>
        </w:rPr>
        <w:t xml:space="preserve">мл, количество в упаковке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 xml:space="preserve">шт., упаковка в пакет) РУ №РЗН </w:t>
      </w:r>
      <w:r>
        <w:rPr>
          <w:rStyle w:val="CharStyle18"/>
          <w:lang w:val="en-US" w:eastAsia="en-US"/>
        </w:rPr>
        <w:t xml:space="preserve">2019/8731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03.10 2025. </w:t>
      </w:r>
      <w:r>
        <w:rPr>
          <w:rStyle w:val="CharStyle18"/>
        </w:rPr>
        <w:t xml:space="preserve">Товарный знак ПЕРИНТ </w:t>
      </w:r>
      <w:r>
        <w:rPr>
          <w:rStyle w:val="CharStyle18"/>
          <w:lang w:val="en-US" w:eastAsia="en-US"/>
        </w:rPr>
        <w:t xml:space="preserve">PERINT. </w:t>
      </w:r>
      <w:r>
        <w:rPr>
          <w:rStyle w:val="CharStyle18"/>
        </w:rPr>
        <w:t xml:space="preserve">Страна происхождения Россия», а в табличной части заявки «Количество в упаковке </w:t>
      </w:r>
      <w:r>
        <w:rPr>
          <w:rStyle w:val="CharStyle18"/>
          <w:lang w:val="en-US" w:eastAsia="en-US"/>
        </w:rPr>
        <w:t xml:space="preserve">– 1500 </w:t>
      </w:r>
      <w:r>
        <w:rPr>
          <w:rStyle w:val="CharStyle18"/>
        </w:rPr>
        <w:t>штук».</w:t>
      </w:r>
      <w:bookmarkEnd w:id="5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" w:name="bookmark7"/>
      <w:r>
        <w:rPr>
          <w:rStyle w:val="CharStyle18"/>
        </w:rPr>
        <w:t xml:space="preserve">Обязанность комиссии по осуществлению закупок отклонить заявку в случае выявления недостоверной информации, содержащейся в заявке, не может рассматриваться как нарушающая права заявителя, поскольку направлена на обеспечение баланса и защиты прав заказчиков, уполномоченных органов и иных участников закупок в целях обеспечения гласности и прозрачности их осуществления, предотвращения коррупции и других злоупотреблений в сфере государственных закупок, следует из Определения Конституционного Суда РФ от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 xml:space="preserve">декабря </w:t>
      </w:r>
      <w:r>
        <w:rPr>
          <w:rStyle w:val="CharStyle18"/>
          <w:lang w:val="en-US" w:eastAsia="en-US"/>
        </w:rPr>
        <w:t xml:space="preserve">2023 </w:t>
      </w:r>
      <w:r>
        <w:rPr>
          <w:rStyle w:val="CharStyle18"/>
        </w:rPr>
        <w:t>года.</w:t>
      </w:r>
      <w:bookmarkEnd w:id="7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9" w:name="bookmark9"/>
      <w:r>
        <w:rPr>
          <w:rStyle w:val="CharStyle18"/>
        </w:rPr>
        <w:t>На основании вышеизложенного Заказчик просит признать жалобу Заявителя необоснованной.</w:t>
      </w:r>
      <w:bookmarkEnd w:id="9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1" w:name="bookmark11"/>
      <w:r>
        <w:rPr>
          <w:rStyle w:val="CharStyle18"/>
        </w:rPr>
        <w:t>В результате рассмотрения жалобы и проведения внеплановой проверки Комиссия УФАС установила следующее.</w:t>
      </w:r>
      <w:bookmarkEnd w:id="1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8"/>
        </w:rPr>
        <w:t xml:space="preserve">Комитетом Республики Адыгея по регулированию контрактной системы в сфере закупок на официальном сайте единой информационной системы в сфере закупок </w:t>
      </w:r>
      <w:r>
        <w:rPr>
          <w:rStyle w:val="CharStyle8"/>
          <w:lang w:val="en-US" w:eastAsia="en-US"/>
        </w:rPr>
        <w:t>zakupki.gov.ru</w:t>
      </w:r>
      <w:r>
        <w:rPr>
          <w:rStyle w:val="CharStyle8"/>
          <w:lang w:val="en-US" w:eastAsia="en-US"/>
        </w:rPr>
        <w:t xml:space="preserve"> </w:t>
      </w:r>
      <w:r>
        <w:rPr>
          <w:rStyle w:val="CharStyle8"/>
        </w:rPr>
        <w:t xml:space="preserve">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ЕИС) </w:t>
      </w:r>
      <w:r>
        <w:rPr>
          <w:rStyle w:val="CharStyle8"/>
          <w:lang w:val="en-US" w:eastAsia="en-US"/>
        </w:rPr>
        <w:t xml:space="preserve">27.04.2026 </w:t>
      </w:r>
      <w:r>
        <w:rPr>
          <w:rStyle w:val="CharStyle8"/>
        </w:rPr>
        <w:t>размещено Извещение.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8"/>
        </w:rPr>
        <w:t xml:space="preserve">Начальная (максимальная) цена контракта </w:t>
      </w:r>
      <w:r>
        <w:rPr>
          <w:rStyle w:val="CharStyle8"/>
          <w:lang w:val="en-US" w:eastAsia="en-US"/>
        </w:rPr>
        <w:t xml:space="preserve">– 168 920,00 </w:t>
      </w:r>
      <w:r>
        <w:rPr>
          <w:rStyle w:val="CharStyle8"/>
        </w:rPr>
        <w:t>рублей.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3" w:name="bookmark13"/>
      <w:r>
        <w:rPr>
          <w:rStyle w:val="CharStyle18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06.05.2026 </w:t>
      </w:r>
      <w:r>
        <w:rPr>
          <w:rStyle w:val="CharStyle18"/>
        </w:rPr>
        <w:t xml:space="preserve">№ИЗК1 было подано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заявки отклоненные Комиссией Заказчика.</w:t>
      </w:r>
      <w:bookmarkEnd w:id="13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5" w:name="bookmark15"/>
      <w:r>
        <w:rPr>
          <w:rStyle w:val="CharStyle18"/>
        </w:rPr>
        <w:t xml:space="preserve">Заявка </w:t>
      </w:r>
      <w:r>
        <w:rPr>
          <w:rStyle w:val="CharStyle18"/>
          <w:lang w:val="en-US" w:eastAsia="en-US"/>
        </w:rPr>
        <w:t xml:space="preserve">№2 </w:t>
      </w:r>
      <w:r>
        <w:rPr>
          <w:rStyle w:val="CharStyle18"/>
        </w:rPr>
        <w:t xml:space="preserve">(ООО «Востокмед») отклонена со следующим обоснованием: «п.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 xml:space="preserve">44-ФЗ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недостоверность информации, содержащейся в заявке на участие в закупке: Участником указано "Количество в упаковке </w:t>
      </w:r>
      <w:r>
        <w:rPr>
          <w:rStyle w:val="CharStyle18"/>
          <w:lang w:val="en-US" w:eastAsia="en-US"/>
        </w:rPr>
        <w:t xml:space="preserve">- 1500". </w:t>
      </w:r>
      <w:r>
        <w:rPr>
          <w:rStyle w:val="CharStyle18"/>
        </w:rPr>
        <w:t>Однако по информации из регистрационного удостоверения, а также с официального сайта производителя указанного Участником количества в упаковке не существует».</w:t>
      </w:r>
      <w:bookmarkEnd w:id="15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62" w:lineRule="auto"/>
        <w:ind w:left="0" w:right="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812" w:left="1106" w:header="0" w:footer="3" w:gutter="0"/>
          <w:cols w:space="720"/>
          <w:noEndnote/>
          <w:rtlGutter w:val="0"/>
          <w:docGrid w:linePitch="360"/>
        </w:sectPr>
      </w:pPr>
      <w:bookmarkStart w:id="17" w:name="bookmark17"/>
      <w:r>
        <w:rPr>
          <w:rStyle w:val="CharStyle18"/>
        </w:rPr>
        <w:t xml:space="preserve">Частью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 xml:space="preserve">Закона о контрактной системе установлено, что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"п" пункта </w:t>
      </w:r>
      <w:r>
        <w:rPr>
          <w:rStyle w:val="CharStyle18"/>
          <w:lang w:val="en-US" w:eastAsia="en-US"/>
        </w:rPr>
        <w:t xml:space="preserve">1, </w:t>
      </w:r>
      <w:r>
        <w:rPr>
          <w:rStyle w:val="CharStyle18"/>
        </w:rPr>
        <w:t xml:space="preserve">подпунктами "а"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"в" пункта </w:t>
      </w:r>
      <w:r>
        <w:rPr>
          <w:rStyle w:val="CharStyle18"/>
          <w:lang w:val="en-US" w:eastAsia="en-US"/>
        </w:rPr>
        <w:t xml:space="preserve">2, </w:t>
      </w: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или пунктом </w:t>
      </w:r>
      <w:r>
        <w:rPr>
          <w:rStyle w:val="CharStyle18"/>
          <w:lang w:val="en-US" w:eastAsia="en-US"/>
        </w:rPr>
        <w:t xml:space="preserve">4, </w:t>
      </w:r>
      <w:r>
        <w:rPr>
          <w:rStyle w:val="CharStyle18"/>
        </w:rPr>
        <w:t xml:space="preserve">пунктом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 xml:space="preserve">настоящего Федерального закона. Заявка также может содержать </w:t>
      </w:r>
      <w:r>
        <w:rPr>
          <w:rStyle w:val="CharStyle18"/>
          <w:sz w:val="24"/>
          <w:szCs w:val="24"/>
          <w:lang w:val="en-US" w:eastAsia="en-US"/>
        </w:rPr>
        <w:t>2026-1127</w:t>
      </w:r>
      <w:bookmarkEnd w:id="1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информацию и документы, предусмотренные подпунктом "д" пункта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43 </w:t>
      </w:r>
      <w:r>
        <w:rPr>
          <w:rStyle w:val="CharStyle8"/>
        </w:rPr>
        <w:t>настоящего Федерального закона.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9" w:name="bookmark19"/>
      <w:r>
        <w:rPr>
          <w:rStyle w:val="CharStyle18"/>
        </w:rPr>
        <w:t xml:space="preserve">В соответствии с подпунктом «а» пункта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 xml:space="preserve"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 с учетом положений 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33 </w:t>
      </w:r>
      <w:r>
        <w:rPr>
          <w:rStyle w:val="CharStyle18"/>
        </w:rPr>
        <w:t>настоящего Федерального закона товарный знак (при наличии у товара товарного знака).</w:t>
      </w:r>
      <w:bookmarkEnd w:id="19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1" w:name="bookmark21"/>
      <w:r>
        <w:rPr>
          <w:rStyle w:val="CharStyle18"/>
        </w:rPr>
        <w:t xml:space="preserve">Согласно Извещению Заказчиком по позиции </w:t>
      </w:r>
      <w:r>
        <w:rPr>
          <w:rStyle w:val="CharStyle18"/>
          <w:lang w:val="en-US" w:eastAsia="en-US"/>
        </w:rPr>
        <w:t xml:space="preserve">№1 </w:t>
      </w:r>
      <w:r>
        <w:rPr>
          <w:rStyle w:val="CharStyle18"/>
        </w:rPr>
        <w:t xml:space="preserve">Описания объекта закупки закупается Пробирка для сбора образцов крови не вакуумная ИВД, с </w:t>
      </w:r>
      <w:r>
        <w:rPr>
          <w:rStyle w:val="CharStyle18"/>
          <w:lang w:val="en-US" w:eastAsia="en-US"/>
        </w:rPr>
        <w:t xml:space="preserve">K3EDTA </w:t>
      </w:r>
      <w:r>
        <w:rPr>
          <w:rStyle w:val="CharStyle18"/>
        </w:rPr>
        <w:t xml:space="preserve">(код КТРУ </w:t>
      </w:r>
      <w:r>
        <w:rPr>
          <w:rStyle w:val="CharStyle18"/>
          <w:lang w:val="en-US" w:eastAsia="en-US"/>
        </w:rPr>
        <w:t xml:space="preserve">32.50.50.000-00000360), </w:t>
      </w:r>
      <w:r>
        <w:rPr>
          <w:rStyle w:val="CharStyle18"/>
        </w:rPr>
        <w:t xml:space="preserve">установлены обязательные характеристики предусмотренные позицией КТРУ: Исполнение С устойчивым основанием; Наличие капилляра Да; Количество в упаковке </w:t>
      </w:r>
      <w:r>
        <w:rPr>
          <w:rStyle w:val="CharStyle18"/>
          <w:lang w:val="en-US" w:eastAsia="en-US"/>
        </w:rPr>
        <w:t xml:space="preserve">&gt;100; </w:t>
      </w:r>
      <w:r>
        <w:rPr>
          <w:rStyle w:val="CharStyle18"/>
        </w:rPr>
        <w:t xml:space="preserve">Объем </w:t>
      </w:r>
      <w:r>
        <w:rPr>
          <w:rStyle w:val="CharStyle18"/>
          <w:lang w:val="en-US" w:eastAsia="en-US"/>
        </w:rPr>
        <w:t xml:space="preserve">0.5 </w:t>
      </w:r>
      <w:r>
        <w:rPr>
          <w:rStyle w:val="CharStyle18"/>
        </w:rPr>
        <w:t>Кубический сантиметр; миллилитр.</w:t>
      </w:r>
      <w:bookmarkEnd w:id="21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3" w:name="bookmark23"/>
      <w:r>
        <w:rPr>
          <w:rStyle w:val="CharStyle18"/>
        </w:rPr>
        <w:t xml:space="preserve">Вместе с тем, Заявитель в заявке указал в наименовании предлагаемого товара: Пробирки не вакуумные для взятия капиллярной крови одноразовые по ТУ </w:t>
      </w:r>
      <w:r>
        <w:rPr>
          <w:rStyle w:val="CharStyle18"/>
          <w:lang w:val="en-US" w:eastAsia="en-US"/>
        </w:rPr>
        <w:t xml:space="preserve">32.50.50-008-54287340-2017: </w:t>
      </w:r>
      <w:r>
        <w:rPr>
          <w:rStyle w:val="CharStyle18"/>
        </w:rPr>
        <w:t xml:space="preserve">Пробирка не вакуумная для взятия капиллярной крови </w:t>
      </w:r>
      <w:r>
        <w:rPr>
          <w:rStyle w:val="CharStyle18"/>
          <w:lang w:val="en-US" w:eastAsia="en-US"/>
        </w:rPr>
        <w:t xml:space="preserve">013-046-К3Е-2К-050-050-U04 </w:t>
      </w:r>
      <w:r>
        <w:rPr>
          <w:rStyle w:val="CharStyle18"/>
        </w:rPr>
        <w:t xml:space="preserve">(с наполнителем К3ЭДТА, с капилляром, с двумя крышками, объем забираемой крови </w:t>
      </w:r>
      <w:r>
        <w:rPr>
          <w:rStyle w:val="CharStyle18"/>
          <w:lang w:val="en-US" w:eastAsia="en-US"/>
        </w:rPr>
        <w:t xml:space="preserve">0,5 </w:t>
      </w:r>
      <w:r>
        <w:rPr>
          <w:rStyle w:val="CharStyle18"/>
        </w:rPr>
        <w:t xml:space="preserve">мл, </w:t>
      </w:r>
      <w:r>
        <w:rPr>
          <w:rStyle w:val="CharStyle18"/>
          <w:b/>
          <w:bCs/>
        </w:rPr>
        <w:t xml:space="preserve">количество в упаковке </w:t>
      </w:r>
      <w:r>
        <w:rPr>
          <w:rStyle w:val="CharStyle18"/>
          <w:b/>
          <w:bCs/>
          <w:lang w:val="en-US" w:eastAsia="en-US"/>
        </w:rPr>
        <w:t xml:space="preserve">50 </w:t>
      </w:r>
      <w:r>
        <w:rPr>
          <w:rStyle w:val="CharStyle18"/>
          <w:b/>
          <w:bCs/>
        </w:rPr>
        <w:t xml:space="preserve">шт. </w:t>
      </w:r>
      <w:r>
        <w:rPr>
          <w:rStyle w:val="CharStyle18"/>
        </w:rPr>
        <w:t xml:space="preserve">упаковка в пакет). При этом, в характеристиках товара указал </w:t>
      </w:r>
      <w:r>
        <w:rPr>
          <w:rStyle w:val="CharStyle18"/>
          <w:b/>
          <w:bCs/>
        </w:rPr>
        <w:t xml:space="preserve">Количество в упаковке </w:t>
      </w:r>
      <w:r>
        <w:rPr>
          <w:rStyle w:val="CharStyle18"/>
          <w:b/>
          <w:bCs/>
          <w:lang w:val="en-US" w:eastAsia="en-US"/>
        </w:rPr>
        <w:t>– 1500</w:t>
      </w:r>
      <w:r>
        <w:rPr>
          <w:rStyle w:val="CharStyle18"/>
          <w:lang w:val="en-US" w:eastAsia="en-US"/>
        </w:rPr>
        <w:t>.</w:t>
      </w:r>
      <w:bookmarkEnd w:id="23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5" w:name="bookmark25"/>
      <w:r>
        <w:rPr>
          <w:rStyle w:val="CharStyle18"/>
        </w:rPr>
        <w:t xml:space="preserve">В соответствии с Выпиской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 (Уникальный номер реестровой записи: </w:t>
      </w:r>
      <w:r>
        <w:rPr>
          <w:rStyle w:val="CharStyle18"/>
          <w:lang w:val="en-US" w:eastAsia="en-US"/>
        </w:rPr>
        <w:t xml:space="preserve">191300), </w:t>
      </w:r>
      <w:r>
        <w:rPr>
          <w:rStyle w:val="CharStyle18"/>
        </w:rPr>
        <w:t xml:space="preserve">РУ №РЗН </w:t>
      </w:r>
      <w:r>
        <w:rPr>
          <w:rStyle w:val="CharStyle18"/>
          <w:lang w:val="en-US" w:eastAsia="en-US"/>
        </w:rPr>
        <w:t xml:space="preserve">2019/8731, </w:t>
      </w:r>
      <w:r>
        <w:rPr>
          <w:rStyle w:val="CharStyle18"/>
        </w:rPr>
        <w:t xml:space="preserve">Инструкцией по применению, вариант исполнения пробирки, предложенной Заявителем в составе заявки: Пробирка не вакуумная для взятия капиллярной крови </w:t>
      </w:r>
      <w:r>
        <w:rPr>
          <w:rStyle w:val="CharStyle18"/>
          <w:lang w:val="en-US" w:eastAsia="en-US"/>
        </w:rPr>
        <w:t xml:space="preserve">013-046-К3Е-2К-050-050-U04 </w:t>
      </w:r>
      <w:r>
        <w:rPr>
          <w:rStyle w:val="CharStyle18"/>
        </w:rPr>
        <w:t xml:space="preserve">(с наполнителем К3ЭДТА, с капилляром, с двумя крышками, объем забираемой крови </w:t>
      </w:r>
      <w:r>
        <w:rPr>
          <w:rStyle w:val="CharStyle18"/>
          <w:lang w:val="en-US" w:eastAsia="en-US"/>
        </w:rPr>
        <w:t xml:space="preserve">0,5 </w:t>
      </w:r>
      <w:r>
        <w:rPr>
          <w:rStyle w:val="CharStyle18"/>
        </w:rPr>
        <w:t xml:space="preserve">мл, количество в упаковке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>шт., упаковка в пакет).</w:t>
      </w:r>
      <w:bookmarkEnd w:id="25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 xml:space="preserve">В соответствии с информацией на официальном сайте производителя АО «ПЕРИНТ» Пробирка капиллярная </w:t>
      </w:r>
      <w:r>
        <w:rPr>
          <w:rStyle w:val="CharStyle22"/>
          <w:lang w:val="en-US" w:eastAsia="en-US"/>
        </w:rPr>
        <w:t xml:space="preserve">0,5 </w:t>
      </w:r>
      <w:r>
        <w:rPr>
          <w:rStyle w:val="CharStyle22"/>
        </w:rPr>
        <w:t>мл с капилляром с ЭДТА К3:</w:t>
      </w:r>
    </w:p>
    <w:tbl>
      <w:tblPr>
        <w:tblOverlap w:val="never"/>
        <w:jc w:val="center"/>
        <w:tblLayout w:type="fixed"/>
      </w:tblPr>
      <w:tblGrid>
        <w:gridCol w:w="5002"/>
        <w:gridCol w:w="5222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Диаметр, 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13.1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Высота, 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47.9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В коробе, шт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1500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Упаковка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Групповая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b/>
                <w:bCs/>
                <w:sz w:val="24"/>
                <w:szCs w:val="24"/>
              </w:rPr>
              <w:t>В упаковке, 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b/>
                <w:bCs/>
                <w:sz w:val="24"/>
                <w:szCs w:val="24"/>
                <w:lang w:val="en-US" w:eastAsia="en-US"/>
              </w:rPr>
              <w:t>50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В информационном письме АО «ПЕРИНТ» указано: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139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22"/>
        </w:rPr>
        <w:t xml:space="preserve">«Пробирка не вакуумная для взятия капиллярной крови 013-046-К3Е-2К- </w:t>
      </w:r>
      <w:r>
        <w:rPr>
          <w:rStyle w:val="CharStyle22"/>
          <w:lang w:val="en-US" w:eastAsia="en-US"/>
        </w:rPr>
        <w:t xml:space="preserve">020(050)-050-U04 </w:t>
      </w:r>
      <w:r>
        <w:rPr>
          <w:rStyle w:val="CharStyle22"/>
        </w:rPr>
        <w:t xml:space="preserve">(с наполнителем К3ЭДТА, с капилляром, с двумя крышками объем забираемой крови 0,2мл (или </w:t>
      </w:r>
      <w:r>
        <w:rPr>
          <w:rStyle w:val="CharStyle22"/>
          <w:lang w:val="en-US" w:eastAsia="en-US"/>
        </w:rPr>
        <w:t xml:space="preserve">0,5 </w:t>
      </w:r>
      <w:r>
        <w:rPr>
          <w:rStyle w:val="CharStyle22"/>
        </w:rPr>
        <w:t>мл), количество в упаковке 50шт, упаковка в пакет).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34" w:right="0" w:firstLine="0"/>
        <w:jc w:val="left"/>
      </w:pPr>
      <w:r>
        <w:rPr>
          <w:rStyle w:val="CharStyle22"/>
          <w:lang w:val="en-US" w:eastAsia="en-US"/>
        </w:rPr>
        <w:t xml:space="preserve">2. </w:t>
      </w:r>
      <w:r>
        <w:rPr>
          <w:rStyle w:val="CharStyle22"/>
        </w:rPr>
        <w:t>Основные технические характеристики</w:t>
      </w:r>
    </w:p>
    <w:tbl>
      <w:tblPr>
        <w:tblOverlap w:val="never"/>
        <w:jc w:val="center"/>
        <w:tblLayout w:type="fixed"/>
      </w:tblPr>
      <w:tblGrid>
        <w:gridCol w:w="3878"/>
        <w:gridCol w:w="1978"/>
        <w:gridCol w:w="1560"/>
        <w:gridCol w:w="1272"/>
        <w:gridCol w:w="1536"/>
      </w:tblGrid>
      <w:tr>
        <w:trPr>
          <w:trHeight w:val="11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Обозначение исполнения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Объем забираемой крови, мл/объем пробирки, мл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Диаметр,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Высота в сборе, 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b/>
                <w:bCs/>
                <w:sz w:val="24"/>
                <w:szCs w:val="24"/>
              </w:rPr>
              <w:t>Кол-во в упаковке</w:t>
            </w:r>
            <w:r>
              <w:rPr>
                <w:rStyle w:val="CharStyle24"/>
                <w:sz w:val="24"/>
                <w:szCs w:val="24"/>
              </w:rPr>
              <w:t>/ в коробе, шт</w:t>
            </w:r>
          </w:p>
        </w:tc>
      </w:tr>
      <w:tr>
        <w:trPr>
          <w:trHeight w:val="11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Пробирка не вакуумная для взятия капиллярной крови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>013-046-К3Е-2К-020-050-U04 013-046-К3Е-2К-050-050-U04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0,2/ 2,0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0,5/ 2,0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13,1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47,9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b/>
                <w:bCs/>
                <w:sz w:val="24"/>
                <w:szCs w:val="24"/>
                <w:lang w:val="en-US" w:eastAsia="en-US"/>
              </w:rPr>
              <w:t xml:space="preserve">50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/ 1500 (30 </w:t>
            </w:r>
            <w:r>
              <w:rPr>
                <w:rStyle w:val="CharStyle24"/>
                <w:sz w:val="24"/>
                <w:szCs w:val="24"/>
              </w:rPr>
              <w:t>пакетов)</w:t>
            </w:r>
          </w:p>
        </w:tc>
      </w:tr>
    </w:tbl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8"/>
        </w:rPr>
        <w:t>Упаковка, транспортирование, хранение</w:t>
      </w:r>
    </w:p>
    <w:p>
      <w:pPr>
        <w:pStyle w:val="Style17"/>
        <w:keepNext/>
        <w:keepLines/>
        <w:widowControl w:val="0"/>
        <w:numPr>
          <w:ilvl w:val="1"/>
          <w:numId w:val="1"/>
        </w:numPr>
        <w:shd w:val="clear" w:color="auto" w:fill="auto"/>
        <w:tabs>
          <w:tab w:pos="1230" w:val="left"/>
        </w:tabs>
        <w:bidi w:val="0"/>
        <w:spacing w:before="0" w:after="0" w:line="240" w:lineRule="auto"/>
        <w:ind w:left="0" w:right="0"/>
        <w:jc w:val="both"/>
      </w:pPr>
      <w:bookmarkStart w:id="58" w:name="bookmark58"/>
      <w:r>
        <w:rPr>
          <w:rStyle w:val="CharStyle18"/>
        </w:rPr>
        <w:t xml:space="preserve">Пробирки упаковывают по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 xml:space="preserve">штук в пакет, пробирки без капилляра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по </w:t>
      </w:r>
      <w:r>
        <w:rPr>
          <w:rStyle w:val="CharStyle18"/>
          <w:lang w:val="en-US" w:eastAsia="en-US"/>
        </w:rPr>
        <w:t xml:space="preserve">2000 </w:t>
      </w:r>
      <w:r>
        <w:rPr>
          <w:rStyle w:val="CharStyle18"/>
        </w:rPr>
        <w:t xml:space="preserve">штук в коробе </w:t>
      </w:r>
      <w:r>
        <w:rPr>
          <w:rStyle w:val="CharStyle18"/>
          <w:lang w:val="en-US" w:eastAsia="en-US"/>
        </w:rPr>
        <w:t xml:space="preserve">(40 </w:t>
      </w:r>
      <w:r>
        <w:rPr>
          <w:rStyle w:val="CharStyle18"/>
        </w:rPr>
        <w:t xml:space="preserve">пакетов х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 xml:space="preserve">штук), пробирки с капилляром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по </w:t>
      </w:r>
      <w:r>
        <w:rPr>
          <w:rStyle w:val="CharStyle18"/>
          <w:lang w:val="en-US" w:eastAsia="en-US"/>
        </w:rPr>
        <w:t xml:space="preserve">1500 </w:t>
      </w:r>
      <w:r>
        <w:rPr>
          <w:rStyle w:val="CharStyle18"/>
        </w:rPr>
        <w:t xml:space="preserve">штук в коробе </w:t>
      </w:r>
      <w:r>
        <w:rPr>
          <w:rStyle w:val="CharStyle18"/>
          <w:lang w:val="en-US" w:eastAsia="en-US"/>
        </w:rPr>
        <w:t xml:space="preserve">(30 </w:t>
      </w:r>
      <w:r>
        <w:rPr>
          <w:rStyle w:val="CharStyle18"/>
        </w:rPr>
        <w:t xml:space="preserve">пакетов х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 xml:space="preserve">штук). Размер короба 390х400х180мм. Допустима упаковка пробирок с капилляром в индивидуальную упаковку, по </w:t>
      </w:r>
      <w:r>
        <w:rPr>
          <w:rStyle w:val="CharStyle18"/>
          <w:lang w:val="en-US" w:eastAsia="en-US"/>
        </w:rPr>
        <w:t xml:space="preserve">1000 </w:t>
      </w:r>
      <w:r>
        <w:rPr>
          <w:rStyle w:val="CharStyle18"/>
        </w:rPr>
        <w:t>штук в коробе, размер короба 600х400х145мм.».</w:t>
      </w:r>
      <w:bookmarkEnd w:id="58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0" w:name="bookmark60"/>
      <w:r>
        <w:rPr>
          <w:rStyle w:val="CharStyle18"/>
        </w:rPr>
        <w:t xml:space="preserve">На основании изложенного, Комиссия УФАС отмечает, что по товару Пробирка не вакуумная для взятия капиллярной крови </w:t>
      </w:r>
      <w:r>
        <w:rPr>
          <w:rStyle w:val="CharStyle18"/>
          <w:lang w:val="en-US" w:eastAsia="en-US"/>
        </w:rPr>
        <w:t xml:space="preserve">013-046-К3Е-2К-050-050-U04 </w:t>
      </w:r>
      <w:r>
        <w:rPr>
          <w:rStyle w:val="CharStyle18"/>
        </w:rPr>
        <w:t xml:space="preserve">количество в упаковке </w:t>
      </w:r>
      <w:r>
        <w:rPr>
          <w:rStyle w:val="CharStyle18"/>
          <w:lang w:val="en-US" w:eastAsia="en-US"/>
        </w:rPr>
        <w:t xml:space="preserve">– 50 </w:t>
      </w:r>
      <w:r>
        <w:rPr>
          <w:rStyle w:val="CharStyle18"/>
        </w:rPr>
        <w:t xml:space="preserve">штук; количество в коробе </w:t>
      </w:r>
      <w:r>
        <w:rPr>
          <w:rStyle w:val="CharStyle18"/>
          <w:lang w:val="en-US" w:eastAsia="en-US"/>
        </w:rPr>
        <w:t xml:space="preserve">– 1500 </w:t>
      </w:r>
      <w:r>
        <w:rPr>
          <w:rStyle w:val="CharStyle18"/>
        </w:rPr>
        <w:t xml:space="preserve">штук </w:t>
      </w:r>
      <w:r>
        <w:rPr>
          <w:rStyle w:val="CharStyle18"/>
          <w:lang w:val="en-US" w:eastAsia="en-US"/>
        </w:rPr>
        <w:t xml:space="preserve">(30 </w:t>
      </w:r>
      <w:r>
        <w:rPr>
          <w:rStyle w:val="CharStyle18"/>
        </w:rPr>
        <w:t xml:space="preserve">пакетов х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>штук).</w:t>
      </w:r>
      <w:bookmarkEnd w:id="60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2" w:name="bookmark62"/>
      <w:r>
        <w:rPr>
          <w:rStyle w:val="CharStyle18"/>
        </w:rPr>
        <w:t xml:space="preserve">В силу подпункта «а» 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8"/>
          <w:lang w:val="en-US" w:eastAsia="en-US"/>
        </w:rPr>
        <w:t xml:space="preserve">1 - 8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настоящего Федерального закона.</w:t>
      </w:r>
      <w:bookmarkEnd w:id="62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4" w:name="bookmark64"/>
      <w:r>
        <w:rPr>
          <w:rStyle w:val="CharStyle18"/>
        </w:rPr>
        <w:t xml:space="preserve">В соответствии пунктом </w:t>
      </w:r>
      <w:r>
        <w:rPr>
          <w:rStyle w:val="CharStyle18"/>
          <w:lang w:val="en-US" w:eastAsia="en-US"/>
        </w:rPr>
        <w:t xml:space="preserve">8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закупке.</w:t>
      </w:r>
      <w:bookmarkEnd w:id="64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6" w:name="bookmark66"/>
      <w:r>
        <w:rPr>
          <w:rStyle w:val="CharStyle18"/>
        </w:rPr>
        <w:t xml:space="preserve">Таким образом, Комиссия УФАС отмечает, что в составе заявки Заявителя содержится противоречивая и недостоверная информация, а именно предложен товар с количеством в упаковке </w:t>
      </w:r>
      <w:r>
        <w:rPr>
          <w:rStyle w:val="CharStyle18"/>
          <w:lang w:val="en-US" w:eastAsia="en-US"/>
        </w:rPr>
        <w:t xml:space="preserve">50 </w:t>
      </w:r>
      <w:r>
        <w:rPr>
          <w:rStyle w:val="CharStyle18"/>
        </w:rPr>
        <w:t xml:space="preserve">штук, при этом в характеристиках указано количество в упаковке </w:t>
      </w:r>
      <w:r>
        <w:rPr>
          <w:rStyle w:val="CharStyle18"/>
          <w:lang w:val="en-US" w:eastAsia="en-US"/>
        </w:rPr>
        <w:t xml:space="preserve">1500 </w:t>
      </w:r>
      <w:r>
        <w:rPr>
          <w:rStyle w:val="CharStyle18"/>
        </w:rPr>
        <w:t>штук.</w:t>
      </w:r>
      <w:bookmarkEnd w:id="66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8" w:name="bookmark68"/>
      <w:r>
        <w:rPr>
          <w:rStyle w:val="CharStyle18"/>
        </w:rPr>
        <w:t xml:space="preserve">На основании изложенного, Комиссия УФАС приходит к выводу, что Комиссией Заказчика правомерно отклонена заявка Заявителя, следовательно жалоба является </w:t>
      </w:r>
      <w:r>
        <w:rPr>
          <w:rStyle w:val="CharStyle18"/>
          <w:b/>
          <w:bCs/>
        </w:rPr>
        <w:t>необоснованной</w:t>
      </w:r>
      <w:r>
        <w:rPr>
          <w:rStyle w:val="CharStyle18"/>
        </w:rPr>
        <w:t>.</w:t>
      </w:r>
      <w:bookmarkEnd w:id="68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86" w:lineRule="auto"/>
        <w:ind w:left="0" w:right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749" w:left="1101" w:header="0" w:footer="3" w:gutter="0"/>
          <w:cols w:space="720"/>
          <w:noEndnote/>
          <w:rtlGutter w:val="0"/>
          <w:docGrid w:linePitch="360"/>
        </w:sectPr>
      </w:pPr>
      <w:bookmarkStart w:id="70" w:name="bookmark70"/>
      <w:r>
        <w:rPr>
          <w:rStyle w:val="CharStyle18"/>
        </w:rPr>
        <w:t xml:space="preserve">Доводы Заявителя, касающиеся положений извещения, Комиссией УФАС не рассматриваются, так как 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105 </w:t>
      </w:r>
      <w:r>
        <w:rPr>
          <w:rStyle w:val="CharStyle18"/>
        </w:rPr>
        <w:t xml:space="preserve">Закона о контрактной системе жалоба на положения извещения об осуществлении закупки </w:t>
      </w:r>
      <w:r>
        <w:rPr>
          <w:rStyle w:val="CharStyle18"/>
          <w:sz w:val="24"/>
          <w:szCs w:val="24"/>
          <w:lang w:val="en-US" w:eastAsia="en-US"/>
        </w:rPr>
        <w:t>2026-1127</w:t>
      </w:r>
      <w:bookmarkEnd w:id="7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может быть подана до окончания срока подачи заявок на участие в закупке.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2" w:name="bookmark72"/>
      <w:r>
        <w:rPr>
          <w:rStyle w:val="CharStyle18"/>
        </w:rPr>
        <w:t xml:space="preserve">Вместе с тем, Комиссия УФАС отмечает, что Заказчиком использована позиция КТРУ с обязательным применением с </w:t>
      </w:r>
      <w:r>
        <w:rPr>
          <w:rStyle w:val="CharStyle18"/>
          <w:lang w:val="en-US" w:eastAsia="en-US"/>
        </w:rPr>
        <w:t xml:space="preserve">07.09.2023, </w:t>
      </w:r>
      <w:r>
        <w:rPr>
          <w:rStyle w:val="CharStyle18"/>
        </w:rPr>
        <w:t>а также установлены обязательные для применения характеристики.</w:t>
      </w:r>
      <w:bookmarkEnd w:id="72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4" w:name="bookmark74"/>
      <w:r>
        <w:rPr>
          <w:rStyle w:val="CharStyle18"/>
        </w:rPr>
        <w:t xml:space="preserve">Кроме того, в соответствии с Выпиской </w:t>
      </w:r>
      <w:r>
        <w:rPr>
          <w:rStyle w:val="CharStyle18"/>
          <w:lang w:val="en-US" w:eastAsia="en-US"/>
        </w:rPr>
        <w:t xml:space="preserve">№191300, </w:t>
      </w:r>
      <w:r>
        <w:rPr>
          <w:rStyle w:val="CharStyle18"/>
        </w:rPr>
        <w:t xml:space="preserve">РУ №РЗН </w:t>
      </w:r>
      <w:r>
        <w:rPr>
          <w:rStyle w:val="CharStyle18"/>
          <w:lang w:val="en-US" w:eastAsia="en-US"/>
        </w:rPr>
        <w:t xml:space="preserve">2019/8731 </w:t>
      </w:r>
      <w:r>
        <w:rPr>
          <w:rStyle w:val="CharStyle18"/>
        </w:rPr>
        <w:t xml:space="preserve">Инструкцией по применению, товар зарегистрирован с количеством в упаковке по </w:t>
      </w:r>
      <w:r>
        <w:rPr>
          <w:rStyle w:val="CharStyle18"/>
          <w:lang w:val="en-US" w:eastAsia="en-US"/>
        </w:rPr>
        <w:t xml:space="preserve">1 10, 20, 50, 100 </w:t>
      </w:r>
      <w:r>
        <w:rPr>
          <w:rStyle w:val="CharStyle18"/>
        </w:rPr>
        <w:t xml:space="preserve">и </w:t>
      </w:r>
      <w:r>
        <w:rPr>
          <w:rStyle w:val="CharStyle18"/>
          <w:b/>
          <w:bCs/>
          <w:lang w:val="en-US" w:eastAsia="en-US"/>
        </w:rPr>
        <w:t xml:space="preserve">200 </w:t>
      </w:r>
      <w:r>
        <w:rPr>
          <w:rStyle w:val="CharStyle18"/>
        </w:rPr>
        <w:t>штук.</w:t>
      </w:r>
      <w:bookmarkEnd w:id="74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6" w:name="bookmark76"/>
      <w:r>
        <w:rPr>
          <w:rStyle w:val="CharStyle18"/>
        </w:rPr>
        <w:t xml:space="preserve">Руководствуясь статьями </w:t>
      </w:r>
      <w:r>
        <w:rPr>
          <w:rStyle w:val="CharStyle18"/>
          <w:lang w:val="en-US" w:eastAsia="en-US"/>
        </w:rPr>
        <w:t xml:space="preserve">99, 106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</w:t>
      </w:r>
      <w:r>
        <w:rPr>
          <w:rStyle w:val="CharStyle18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  <w:bookmarkEnd w:id="76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8"/>
        </w:rPr>
        <w:t>Признать жалобу ООО «ВОСТОКМЕД»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60"/>
        <w:jc w:val="both"/>
      </w:pPr>
      <w:r>
        <w:rPr>
          <w:rStyle w:val="CharStyle8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left"/>
      </w:pPr>
      <w:r>
        <w:drawing>
          <wp:anchor distT="73025" distB="0" distL="0" distR="3508375" simplePos="0" relativeHeight="125829384" behindDoc="0" locked="0" layoutInCell="1" allowOverlap="1">
            <wp:simplePos x="0" y="0"/>
            <wp:positionH relativeFrom="page">
              <wp:posOffset>3323590</wp:posOffset>
            </wp:positionH>
            <wp:positionV relativeFrom="paragraph">
              <wp:posOffset>85725</wp:posOffset>
            </wp:positionV>
            <wp:extent cx="353695" cy="396240"/>
            <wp:wrapSquare wrapText="lef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3741420</wp:posOffset>
                </wp:positionH>
                <wp:positionV relativeFrom="paragraph">
                  <wp:posOffset>173990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4.60000000000002pt;margin-top:13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6535" distL="2999105" distR="635" simplePos="0" relativeHeight="125829385" behindDoc="0" locked="0" layoutInCell="1" allowOverlap="1">
                <wp:simplePos x="0" y="0"/>
                <wp:positionH relativeFrom="page">
                  <wp:posOffset>6322695</wp:posOffset>
                </wp:positionH>
                <wp:positionV relativeFrom="paragraph">
                  <wp:posOffset>12700</wp:posOffset>
                </wp:positionV>
                <wp:extent cx="862330" cy="25273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Р.Х. Блягоз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7.85000000000002pt;margin-top:1.pt;width:67.900000000000006pt;height:19.900000000000002pt;z-index:-125829368;mso-wrap-distance-left:236.15000000000001pt;mso-wrap-distance-right:5.0000000000000003e-002pt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Р.Х. Блягоз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</w:rPr>
        <w:t>Заместитель председателя комиссии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9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Блягоз Рамазан Хазретович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A2A2A"/>
        </w:rPr>
        <w:t xml:space="preserve">№ </w:t>
      </w:r>
      <w:r>
        <w:rPr>
          <w:rStyle w:val="CharStyle31"/>
        </w:rPr>
        <w:t>00А8363848АЕ8629В39ВВ1859061Е60А5В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1"/>
        </w:rPr>
        <w:t>Действителен с 30.04.2026 по 24.07.2027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505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5900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7.pt;width:105.60000000000001pt;height:19.699999999999999pt;z-index:-125829366;mso-wrap-distance-left:0;mso-wrap-distance-top:7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860" distB="0" distL="0" distR="1786255" simplePos="0" relativeHeight="125829389" behindDoc="0" locked="0" layoutInCell="1" allowOverlap="1">
            <wp:simplePos x="0" y="0"/>
            <wp:positionH relativeFrom="page">
              <wp:posOffset>3323590</wp:posOffset>
            </wp:positionH>
            <wp:positionV relativeFrom="paragraph">
              <wp:posOffset>149860</wp:posOffset>
            </wp:positionV>
            <wp:extent cx="353695" cy="408305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3741420</wp:posOffset>
                </wp:positionH>
                <wp:positionV relativeFrom="paragraph">
                  <wp:posOffset>247650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94.60000000000002pt;margin-top:19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5900" distL="0" distR="0" simplePos="0" relativeHeight="125829390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88900</wp:posOffset>
                </wp:positionV>
                <wp:extent cx="1146175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А.Ю. Ситимов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75.55000000000001pt;margin-top:7.pt;width:90.25pt;height:19.699999999999999pt;z-index:-125829363;mso-wrap-distance-left:0;mso-wrap-distance-top:7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А.Ю. Ситимов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3323590</wp:posOffset>
            </wp:positionH>
            <wp:positionV relativeFrom="paragraph">
              <wp:posOffset>685800</wp:posOffset>
            </wp:positionV>
            <wp:extent cx="353695" cy="52451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3783965</wp:posOffset>
                </wp:positionH>
                <wp:positionV relativeFrom="paragraph">
                  <wp:posOffset>1090930</wp:posOffset>
                </wp:positionV>
                <wp:extent cx="128333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97.94999999999999pt;margin-top:85.900000000000006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3741420</wp:posOffset>
                </wp:positionH>
                <wp:positionV relativeFrom="paragraph">
                  <wp:posOffset>774065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94.60000000000002pt;margin-top:60.950000000000003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9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Ситимов Аскер Юрьевич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2A2A2A"/>
        </w:rPr>
        <w:t xml:space="preserve">№ </w:t>
      </w:r>
      <w:r>
        <w:rPr>
          <w:rStyle w:val="CharStyle31"/>
          <w:lang w:val="en-US" w:eastAsia="en-US"/>
        </w:rPr>
        <w:t>54F168D033D470F430B3D68C74A7F08D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31"/>
        </w:rPr>
        <w:t xml:space="preserve">Действителен </w:t>
      </w:r>
      <w:r>
        <w:rPr>
          <w:rStyle w:val="CharStyle31"/>
          <w:color w:val="5C5C5C"/>
        </w:rPr>
        <w:t xml:space="preserve">с </w:t>
      </w:r>
      <w:r>
        <w:rPr>
          <w:rStyle w:val="CharStyle31"/>
        </w:rPr>
        <w:t>04.12.2025 по 27.02.2027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rStyle w:val="CharStyle8"/>
        </w:rPr>
        <w:t>Н.А. Клюкина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</w:rPr>
        <w:t>КЛЮКИНА НАТАЛЬЯ АЛЕКСАНДРОВНА</w:t>
      </w:r>
      <w:r>
        <w:rPr>
          <w:rStyle w:val="CharStyle31"/>
          <w:color w:val="000000"/>
        </w:rPr>
        <w:t xml:space="preserve"> </w:t>
      </w:r>
      <w:r>
        <w:rPr>
          <w:rStyle w:val="CharStyle31"/>
        </w:rPr>
        <w:t xml:space="preserve">Сертификат </w:t>
      </w:r>
      <w:r>
        <w:rPr>
          <w:rStyle w:val="CharStyle31"/>
          <w:color w:val="2A2A2A"/>
        </w:rPr>
        <w:t xml:space="preserve">№ </w:t>
      </w:r>
      <w:r>
        <w:rPr>
          <w:rStyle w:val="CharStyle31"/>
          <w:lang w:val="en-US" w:eastAsia="en-US"/>
        </w:rPr>
        <w:t>68C6EA25EAC373ADCFE5D67D96FA5798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60" w:line="266" w:lineRule="auto"/>
        <w:ind w:right="0" w:firstLine="0"/>
        <w:jc w:val="left"/>
      </w:pPr>
      <w:r>
        <w:rPr>
          <w:rStyle w:val="CharStyle31"/>
        </w:rPr>
        <w:t xml:space="preserve">Действителен </w:t>
      </w:r>
      <w:r>
        <w:rPr>
          <w:rStyle w:val="CharStyle31"/>
          <w:color w:val="5C5C5C"/>
        </w:rPr>
        <w:t xml:space="preserve">с </w:t>
      </w:r>
      <w:r>
        <w:rPr>
          <w:rStyle w:val="CharStyle31"/>
        </w:rPr>
        <w:t>09.06.2025 по 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166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2026-1127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5pt;margin-top:775.70000000000005pt;width:48.95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2026-1127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21665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2026-1127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5pt;margin-top:775.70000000000005pt;width:48.95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2026-1127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21665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2026-1127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75pt;margin-top:788.20000000000005pt;width:48.950000000000003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2026-1127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756285</wp:posOffset>
              </wp:positionV>
              <wp:extent cx="79375" cy="63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6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75pt;margin-top:59.550000000000004pt;width:6.25pt;height:0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756285</wp:posOffset>
              </wp:positionV>
              <wp:extent cx="7937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59.550000000000004pt;width:6.25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Heading #1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Body text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31">
    <w:name w:val="Body text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ind w:firstLine="7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90"/>
      <w:ind w:left="48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30">
    <w:name w:val="Body text (2)"/>
    <w:basedOn w:val="Normal"/>
    <w:link w:val="CharStyle31"/>
    <w:pPr>
      <w:widowControl w:val="0"/>
      <w:shd w:val="clear" w:color="auto" w:fill="auto"/>
      <w:ind w:left="4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header" Target="header1.xml"/><Relationship Id="rId12" Type="http://schemas.openxmlformats.org/officeDocument/2006/relationships/footer" Target="footer3.xml"/><Relationship Id="rId13" Type="http://schemas.openxmlformats.org/officeDocument/2006/relationships/header" Target="header2.xml"/><Relationship Id="rId14" Type="http://schemas.openxmlformats.org/officeDocument/2006/relationships/footer" Target="footer4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