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8.05.2026</w:t>
      </w:r>
      <w:r>
        <w:fldChar w:fldCharType="end"/>
      </w:r>
      <w:r>
        <w:rPr>
          <w:rStyle w:val="CharStyle10"/>
        </w:rPr>
        <w:tab/>
        <w:t>№ 20923/26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ФКУ СИЗО-5 ГУФСИН России по г.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Москве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"mailto:okbiixosi5@mail.ru" </w:instrText>
      </w:r>
      <w:r>
        <w:fldChar w:fldCharType="separate"/>
      </w:r>
      <w:r>
        <w:rPr>
          <w:rStyle w:val="CharStyle12"/>
          <w:lang w:val="en-US" w:eastAsia="en-US"/>
        </w:rPr>
        <w:t>okbiixosi5@mail.ru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ИП Найданов А.А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093" w:bottom="708" w:left="1293" w:header="0" w:footer="3" w:gutter="0"/>
          <w:pgNumType w:start="1"/>
          <w:cols w:num="2" w:space="720" w:equalWidth="0">
            <w:col w:w="3806" w:space="1306"/>
            <w:col w:w="4402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"mailto:kdb45@bk.ru" </w:instrText>
      </w:r>
      <w:r>
        <w:fldChar w:fldCharType="separate"/>
      </w:r>
      <w:r>
        <w:rPr>
          <w:rStyle w:val="CharStyle12"/>
          <w:lang w:val="en-US" w:eastAsia="en-US"/>
        </w:rPr>
        <w:t>kdb45@bk.ru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1" w:after="6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57" w:right="0" w:bottom="84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077/06/105-6032/2026 </w:t>
      </w:r>
      <w:r>
        <w:rPr>
          <w:rStyle w:val="CharStyle12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12"/>
          <w:b/>
          <w:bCs/>
          <w:lang w:val="en-US" w:eastAsia="en-US"/>
        </w:rPr>
        <w:t>14.05.2026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Председательствующего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676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Специалиста-эксперта отдела обжалования</w:t>
        <w:tab/>
        <w:t>государственных закупок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Е.С. Переверзевой,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676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Специалиста-эксперта отдела обжалования</w:t>
        <w:tab/>
        <w:t>государственных закупок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А.С. Гелмутдиновой,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рассмотрение жалоб проводилось дистанционно (посредством видеоконференцсвязи),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при участии представителей: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ФКУ СИЗО-5 ГУФСИН России по г. Москве: Е.И. Валенковой (по дов. от </w:t>
      </w:r>
      <w:r>
        <w:rPr>
          <w:rStyle w:val="CharStyle12"/>
          <w:lang w:val="en-US" w:eastAsia="en-US"/>
        </w:rPr>
        <w:t xml:space="preserve">13.05.2026 </w:t>
      </w:r>
      <w:r>
        <w:rPr>
          <w:rStyle w:val="CharStyle12"/>
        </w:rPr>
        <w:t>№б/н),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отсутствие представителей ИП Найданов А.А, о времени и порядке заседания Комиссии Управления уведомленных надлежащим образом посредством размещения сведений в Единой информационной системе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ЕИС),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рассмотрев жалобу ИП Найданов А.А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ФКУ СИЗО-5 ГУФСИН России по г. Москве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Заказчик) при проведении электронного аукциона на право заключения государственного контракта на поставку оборудования продовольственной службы (картофелечистка) для нужд ФКУ СИЗО-5 ГУФСИН России по г. Москве (Закупка </w:t>
      </w:r>
      <w:r>
        <w:rPr>
          <w:rStyle w:val="CharStyle12"/>
          <w:lang w:val="en-US" w:eastAsia="en-US"/>
        </w:rPr>
        <w:t xml:space="preserve">№ 0373100021526000037)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аукцион)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>№44-ФЗ «О контрактной системе в сфере закупок товаров, работ, услуг для обеспечения</w:t>
      </w:r>
    </w:p>
    <w:p>
      <w:pPr>
        <w:widowControl w:val="0"/>
        <w:spacing w:line="1" w:lineRule="exact"/>
      </w:pPr>
      <w:r>
        <w:drawing>
          <wp:anchor distT="635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63500</wp:posOffset>
            </wp:positionV>
            <wp:extent cx="1511935" cy="292735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12"/>
        </w:rPr>
        <w:t xml:space="preserve">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На заседание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Заявитель обжалует действия Заказчика, выразившиеся в утверждении положений извещений в нарушение законодательства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.Согласно доводам жалобы Заказчиком в описание объекта закупки при использовании позиции каталога товаров, работ, услуг для обеспечения государственных и муниципальных нужд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КТРУ) «Картофелечистка» </w:t>
      </w:r>
      <w:r>
        <w:rPr>
          <w:rStyle w:val="CharStyle12"/>
          <w:lang w:val="en-US" w:eastAsia="en-US"/>
        </w:rPr>
        <w:t xml:space="preserve">27.51.21.129-00000001 </w:t>
      </w:r>
      <w:r>
        <w:rPr>
          <w:rStyle w:val="CharStyle12"/>
        </w:rPr>
        <w:t>включены дополнительные характеристики без надлежащего обоснования, что, по мнению Заявителя, нарушает положения Правил использования КТРУ и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Более того, объект закупки относится к позиции </w:t>
      </w:r>
      <w:r>
        <w:rPr>
          <w:rStyle w:val="CharStyle12"/>
          <w:lang w:val="en-US" w:eastAsia="en-US"/>
        </w:rPr>
        <w:t xml:space="preserve">337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№ 2 </w:t>
      </w:r>
      <w:r>
        <w:rPr>
          <w:rStyle w:val="CharStyle12"/>
        </w:rPr>
        <w:t xml:space="preserve">к Постановлению Правительства Российской Федерации от </w:t>
      </w:r>
      <w:r>
        <w:rPr>
          <w:rStyle w:val="CharStyle12"/>
          <w:lang w:val="en-US" w:eastAsia="en-US"/>
        </w:rPr>
        <w:t xml:space="preserve">23.12.2024 № 1875 </w:t>
      </w:r>
      <w:r>
        <w:rPr>
          <w:rStyle w:val="CharStyle12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—Постановление </w:t>
      </w:r>
      <w:r>
        <w:rPr>
          <w:rStyle w:val="CharStyle12"/>
          <w:lang w:val="en-US" w:eastAsia="en-US"/>
        </w:rPr>
        <w:t xml:space="preserve">№ 1875), </w:t>
      </w:r>
      <w:r>
        <w:rPr>
          <w:rStyle w:val="CharStyle12"/>
        </w:rPr>
        <w:t>в отношении которого установлен запрет на указание дополнительных характеристик, не предусмотренных позицией КТРУ.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сопровождение такого указания словами «или эквивалент»;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9" w:val="left"/>
        </w:tabs>
        <w:bidi w:val="0"/>
        <w:spacing w:before="0" w:after="240" w:line="240" w:lineRule="auto"/>
        <w:ind w:left="0" w:right="0" w:firstLine="700"/>
        <w:jc w:val="both"/>
      </w:pPr>
      <w:r>
        <w:rPr>
          <w:rStyle w:val="CharStyle12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документацией на указанные машины и оборудование;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7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силу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Постановлением Правительства Российской Федерации от </w:t>
      </w:r>
      <w:r>
        <w:rPr>
          <w:rStyle w:val="CharStyle12"/>
          <w:lang w:val="en-US" w:eastAsia="en-US"/>
        </w:rPr>
        <w:t xml:space="preserve">08.02.2017 №145 </w:t>
      </w:r>
      <w:r>
        <w:rPr>
          <w:rStyle w:val="CharStyle12"/>
        </w:rPr>
        <w:t xml:space="preserve">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правила формирования КТРУ) и Правила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Правила использования КТРУ).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На основании п.14 ч.3 ст.4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Согласно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Согласно пп.«а» п.2 Правила использования КТРУ каталог используется заказчиками в целях обеспечения применения информации о товарах, работах, услугах, в том числе в: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4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извещении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приглашении принять участие в определении поставщика (подрядчика, исполнителя)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приглашение);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документации о закупке (в случае если Федеральным законом предусмотрена документация о закупке);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44" w:val="left"/>
        </w:tabs>
        <w:bidi w:val="0"/>
        <w:spacing w:before="0" w:after="0" w:line="240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57" w:right="541" w:bottom="842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>контракте;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6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реестре контрактов, заключенных заказчиками.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На основании п.4 Правил использования КТРУ Заказчики обязаны применять информацию, включенную в позицию каталога в соответствии с пп.«а»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«г» и «е»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«з» п.10 Правил формирования КТРУ.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наименование товара, работы, услуги;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описание товара, работы, услуги (при наличии такого описания в позиции).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силу п.5 Правил использования КТРУ Заказчик вправе указать в извещении об осуществлении закупки, приглашении и документации о закупке (в случае если Законом о контрактной системе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с.33 Закона о контрактной системе, которые не предусмотрены в позиции каталога, за исключением случаев: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если при осуществлении закупки товара (в том числе поставляемого при выполнении закупаемых работ, оказании закупаемых услуг), указанного в позициях </w:t>
      </w:r>
      <w:r>
        <w:rPr>
          <w:rStyle w:val="CharStyle12"/>
          <w:lang w:val="en-US" w:eastAsia="en-US"/>
        </w:rPr>
        <w:t xml:space="preserve">25, 26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32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N 1 </w:t>
      </w:r>
      <w:r>
        <w:rPr>
          <w:rStyle w:val="CharStyle12"/>
        </w:rPr>
        <w:t xml:space="preserve">к постановлению Правительства Российской Федерации от </w:t>
      </w:r>
      <w:r>
        <w:rPr>
          <w:rStyle w:val="CharStyle12"/>
          <w:lang w:val="en-US" w:eastAsia="en-US"/>
        </w:rPr>
        <w:t xml:space="preserve">23 </w:t>
      </w:r>
      <w:r>
        <w:rPr>
          <w:rStyle w:val="CharStyle12"/>
        </w:rPr>
        <w:t xml:space="preserve">декабря </w:t>
      </w:r>
      <w:r>
        <w:rPr>
          <w:rStyle w:val="CharStyle12"/>
          <w:lang w:val="en-US" w:eastAsia="en-US"/>
        </w:rPr>
        <w:t xml:space="preserve">2024 </w:t>
      </w:r>
      <w:r>
        <w:rPr>
          <w:rStyle w:val="CharStyle12"/>
        </w:rPr>
        <w:t xml:space="preserve">г. </w:t>
      </w:r>
      <w:r>
        <w:rPr>
          <w:rStyle w:val="CharStyle12"/>
          <w:lang w:val="en-US" w:eastAsia="en-US"/>
        </w:rPr>
        <w:t xml:space="preserve">N 1875 </w:t>
      </w:r>
      <w:r>
        <w:rPr>
          <w:rStyle w:val="CharStyle12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лиц», позициях </w:t>
      </w:r>
      <w:r>
        <w:rPr>
          <w:rStyle w:val="CharStyle12"/>
          <w:lang w:val="en-US" w:eastAsia="en-US"/>
        </w:rPr>
        <w:t xml:space="preserve">191 - 361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N 2 </w:t>
      </w:r>
      <w:r>
        <w:rPr>
          <w:rStyle w:val="CharStyle12"/>
        </w:rPr>
        <w:t xml:space="preserve">к указанному постановлению, применяются предусмотренные пунктом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указанного постановления запрет, ограничение соответственно;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ч.5 ст.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Федерального закона.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Вместе с тем в силу п. </w:t>
      </w:r>
      <w:r>
        <w:rPr>
          <w:rStyle w:val="CharStyle12"/>
          <w:lang w:val="en-US" w:eastAsia="en-US"/>
        </w:rPr>
        <w:t xml:space="preserve">6 </w:t>
      </w:r>
      <w:r>
        <w:rPr>
          <w:rStyle w:val="CharStyle12"/>
        </w:rPr>
        <w:t xml:space="preserve">Правил использования КТРУ в случае предоставления дополнительной информации, предусмотренной п.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>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4"/>
          <w:szCs w:val="24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50" w:bottom="696" w:left="1106" w:header="0" w:footer="268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При этом п.7 Правил использования КТРУ регламентировано, что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ст.33 Закона о контрактной системе. При проведении предусмотренных Законом о контрактной системе электронных процедур, закрытых электронных процедур характеристики объекта закупки, предусмотренные п.1 ч.1 ст.33 Закона о контрактной системе,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ч.1 ст.42, п.1 ч.1 ст.75 </w:t>
      </w:r>
      <w:r>
        <w:rPr>
          <w:rStyle w:val="CharStyle12"/>
          <w:sz w:val="24"/>
          <w:szCs w:val="24"/>
          <w:lang w:val="en-US" w:eastAsia="en-US"/>
        </w:rPr>
        <w:t>2026-24067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Закона о контрактной системе соответственно.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качестве кода каталога товара, работы, услуги, на которые в каталоге отсутствует соответствующая позиция, указывается код такого товара, работы, услуги согласно Общероссийскому классификатору продукции по видам экономической деятельности (ОКПД2) ОК </w:t>
      </w:r>
      <w:r>
        <w:rPr>
          <w:rStyle w:val="CharStyle12"/>
          <w:lang w:val="en-US" w:eastAsia="en-US"/>
        </w:rPr>
        <w:t>034-2014.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Комиссией Управления отмечает, что согласно описанию объекта закупки Заказчиком установлено следующие требования к закупаемому товару, которое не предусмотрено позицией КТРУ </w:t>
      </w:r>
      <w:r>
        <w:rPr>
          <w:rStyle w:val="CharStyle12"/>
          <w:lang w:val="en-US" w:eastAsia="en-US"/>
        </w:rPr>
        <w:t xml:space="preserve">27.51.21.129-00000001, </w:t>
      </w:r>
      <w:r>
        <w:rPr>
          <w:rStyle w:val="CharStyle12"/>
        </w:rPr>
        <w:t>а именно: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«</w:t>
      </w:r>
      <w:r>
        <w:rPr>
          <w:rStyle w:val="CharStyle12"/>
          <w:i/>
          <w:iCs/>
        </w:rPr>
        <w:t>Наличие подставки: Да;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i/>
          <w:iCs/>
        </w:rPr>
        <w:t xml:space="preserve">Напряжение, В: </w:t>
      </w:r>
      <w:r>
        <w:rPr>
          <w:rStyle w:val="CharStyle12"/>
          <w:i/>
          <w:iCs/>
          <w:lang w:val="en-US" w:eastAsia="en-US"/>
        </w:rPr>
        <w:t>380».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При этом в разделе «Обоснование включения дополнительной информации в сведения о товаре, работе, услуге» предусмотрено следующее обоснование включения дополнительного требования: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«</w:t>
      </w:r>
      <w:r>
        <w:rPr>
          <w:rStyle w:val="CharStyle12"/>
          <w:i/>
          <w:iCs/>
        </w:rPr>
        <w:t xml:space="preserve">В соответствии с требованиями п. </w:t>
      </w:r>
      <w:r>
        <w:rPr>
          <w:rStyle w:val="CharStyle12"/>
          <w:i/>
          <w:iCs/>
          <w:lang w:val="en-US" w:eastAsia="en-US"/>
        </w:rPr>
        <w:t xml:space="preserve">1 </w:t>
      </w:r>
      <w:r>
        <w:rPr>
          <w:rStyle w:val="CharStyle12"/>
          <w:i/>
          <w:iCs/>
        </w:rPr>
        <w:t xml:space="preserve">ч. </w:t>
      </w:r>
      <w:r>
        <w:rPr>
          <w:rStyle w:val="CharStyle12"/>
          <w:i/>
          <w:iCs/>
          <w:lang w:val="en-US" w:eastAsia="en-US"/>
        </w:rPr>
        <w:t xml:space="preserve">1 </w:t>
      </w:r>
      <w:r>
        <w:rPr>
          <w:rStyle w:val="CharStyle12"/>
          <w:i/>
          <w:iCs/>
        </w:rPr>
        <w:t xml:space="preserve">ст. </w:t>
      </w:r>
      <w:r>
        <w:rPr>
          <w:rStyle w:val="CharStyle12"/>
          <w:i/>
          <w:iCs/>
          <w:lang w:val="en-US" w:eastAsia="en-US"/>
        </w:rPr>
        <w:t xml:space="preserve">33 </w:t>
      </w:r>
      <w:r>
        <w:rPr>
          <w:rStyle w:val="CharStyle12"/>
          <w:i/>
          <w:iCs/>
        </w:rPr>
        <w:t xml:space="preserve">Закона </w:t>
      </w:r>
      <w:r>
        <w:rPr>
          <w:rStyle w:val="CharStyle12"/>
          <w:i/>
          <w:iCs/>
          <w:lang w:val="en-US" w:eastAsia="en-US"/>
        </w:rPr>
        <w:t xml:space="preserve">№ </w:t>
      </w:r>
      <w:r>
        <w:rPr>
          <w:rStyle w:val="CharStyle12"/>
          <w:i/>
          <w:iCs/>
        </w:rPr>
        <w:t>44-ФЗ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связи с тем, что характеристика, указанная в КТРУ, не является исчерпывающей и не позволяет точно определить качественные, функциональные и технические характеристики закупаемого товара, необходимо в описании объекта закупки указать дополнительную информацию исходя из характеристик, которым должен отвечать закупаемый товар</w:t>
      </w:r>
      <w:r>
        <w:rPr>
          <w:rStyle w:val="CharStyle12"/>
        </w:rPr>
        <w:t>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2"/>
        </w:rPr>
        <w:t xml:space="preserve">В силу ч.1 ст.14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российское лицо), за исключением случаев принятия Правительством Российской Федерации мер, предусмотренных п.1 ч.2 ст.14 Закона о контрактной системе. Если иное не предусмотрено мерами, принятыми Правительством Российской Федерации в соответствии с п.1 ч.2 ст.14 Закона о контрактной системе, положения ст.14 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П.1 ч.2 ст.14 Закона о контрактной системе определено, что Правительство Российской Федерации, вправе с учетом положений ч.3 ст.14 Закона о контрактной системе принимать меры, устанавливающие: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а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б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в 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 xml:space="preserve">П.1 Постановление№ </w:t>
      </w:r>
      <w:r>
        <w:rPr>
          <w:rStyle w:val="CharStyle12"/>
          <w:lang w:val="en-US" w:eastAsia="en-US"/>
        </w:rPr>
        <w:t xml:space="preserve">1875 </w:t>
      </w:r>
      <w:r>
        <w:rPr>
          <w:rStyle w:val="CharStyle12"/>
        </w:rPr>
        <w:t>установлено, что при осуществлении закупок в соответствии с Законом о контрактной системе и закупок в соответствии с Федеральным законом «О закупках товаров, работ, услуг отдельными видами юридических лиц»: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26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иностранные лица), по перечню согласно приложению </w:t>
      </w:r>
      <w:r>
        <w:rPr>
          <w:rStyle w:val="CharStyle12"/>
          <w:lang w:val="en-US" w:eastAsia="en-US"/>
        </w:rPr>
        <w:t xml:space="preserve">№1, </w:t>
      </w:r>
      <w:r>
        <w:rPr>
          <w:rStyle w:val="CharStyle12"/>
        </w:rPr>
        <w:t>а также закупок в рамках государственного оборонного заказа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26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12"/>
          <w:lang w:val="en-US" w:eastAsia="en-US"/>
        </w:rPr>
        <w:t>№2;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26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В силу п.15 ч.1 ст.42 Закона о контрактной системе извещение об осуществлении закупки должно содержать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закупаемой работы, оказании закупаемой услуги), работы, услуги, являющихся объектом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Комиссией Управления установлено, что Заказчиком закупается товар «Картофелечистка» позиции КТРУ </w:t>
      </w:r>
      <w:r>
        <w:rPr>
          <w:rStyle w:val="CharStyle12"/>
          <w:lang w:val="en-US" w:eastAsia="en-US"/>
        </w:rPr>
        <w:t xml:space="preserve">27.51.21.129-00000001 </w:t>
      </w:r>
      <w:r>
        <w:rPr>
          <w:rStyle w:val="CharStyle12"/>
        </w:rPr>
        <w:t xml:space="preserve">и кода ОКПД2 </w:t>
      </w:r>
      <w:r>
        <w:rPr>
          <w:rStyle w:val="CharStyle12"/>
          <w:lang w:val="en-US" w:eastAsia="en-US"/>
        </w:rPr>
        <w:t xml:space="preserve">27.51.21.129, </w:t>
      </w:r>
      <w:r>
        <w:rPr>
          <w:rStyle w:val="CharStyle12"/>
        </w:rPr>
        <w:t xml:space="preserve">в отношении которого Заказчиком установлено ограничение закупок товаров, происходящих из иностранных государств, предусмотренный п.1 Постановления </w:t>
      </w:r>
      <w:r>
        <w:rPr>
          <w:rStyle w:val="CharStyle12"/>
          <w:lang w:val="en-US" w:eastAsia="en-US"/>
        </w:rPr>
        <w:t>№ 1875.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На Заседании Комиссии Управления представитель Заказчика пояснил, что в соответствии со ст.33 Закона о контрактной системе и п.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>Правил использования КТРУ заказчик вправе указывать дополнительные потребительские свойства и характеристики товара, не предусмотренные позицией КТРУ, если такие характеристики соответствуют его потребностям и являются значимыми для обеспечения государственных нужд.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Заказчиком установлены следующие дополнительные характеристики: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«Наличие подставки»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обусловлено отсутствием в овощном цехе учреждения возможности установки оборудования в комплектации без подставки, что связано с особенностями оснащения цеха и требованиями безопасности эксплуатации.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«Напряжение, </w:t>
      </w:r>
      <w:r>
        <w:rPr>
          <w:rStyle w:val="CharStyle12"/>
          <w:lang w:val="en-US" w:eastAsia="en-US"/>
        </w:rPr>
        <w:t xml:space="preserve">380 </w:t>
      </w:r>
      <w:r>
        <w:rPr>
          <w:rStyle w:val="CharStyle12"/>
        </w:rPr>
        <w:t xml:space="preserve">В»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обусловлено необходимостью обеспечения стабильной работы оборудования при прогнозируемой нагрузке очистки </w:t>
      </w:r>
      <w:r>
        <w:rPr>
          <w:rStyle w:val="CharStyle12"/>
          <w:lang w:val="en-US" w:eastAsia="en-US"/>
        </w:rPr>
        <w:t xml:space="preserve">500–600 </w:t>
      </w:r>
      <w:r>
        <w:rPr>
          <w:rStyle w:val="CharStyle12"/>
        </w:rPr>
        <w:t xml:space="preserve">кг корнеплодов в сутки на </w:t>
      </w:r>
      <w:r>
        <w:rPr>
          <w:rStyle w:val="CharStyle12"/>
          <w:lang w:val="en-US" w:eastAsia="en-US"/>
        </w:rPr>
        <w:t xml:space="preserve">1000 </w:t>
      </w:r>
      <w:r>
        <w:rPr>
          <w:rStyle w:val="CharStyle12"/>
        </w:rPr>
        <w:t>человек, что соответствует технологическим требованиям пищеблока учреждения.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Указанные характеристики не противоречат позиции КТРУ, не изменяют ее сущности и направлены на обеспечение нужд заказчика.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Комиссия Управления отмечает, что закупаемый Заказчиком товар относится к позиции </w:t>
      </w:r>
      <w:r>
        <w:rPr>
          <w:rStyle w:val="CharStyle12"/>
          <w:lang w:val="en-US" w:eastAsia="en-US"/>
        </w:rPr>
        <w:t xml:space="preserve">337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№ 2 </w:t>
      </w:r>
      <w:r>
        <w:rPr>
          <w:rStyle w:val="CharStyle12"/>
        </w:rPr>
        <w:t xml:space="preserve">к Постановлению </w:t>
      </w:r>
      <w:r>
        <w:rPr>
          <w:rStyle w:val="CharStyle12"/>
          <w:lang w:val="en-US" w:eastAsia="en-US"/>
        </w:rPr>
        <w:t xml:space="preserve">№ 1875 </w:t>
      </w:r>
      <w:r>
        <w:rPr>
          <w:rStyle w:val="CharStyle12"/>
        </w:rPr>
        <w:t>«Машины и приборы для механизации кухонных работ».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При принятии решения Комиссия Управления исходит из того, что в силу подпункта «а» п.5 Правил использования КТРУ, утвержденных постановлением Правительства РФ от </w:t>
      </w:r>
      <w:r>
        <w:rPr>
          <w:rStyle w:val="CharStyle12"/>
          <w:lang w:val="en-US" w:eastAsia="en-US"/>
        </w:rPr>
        <w:t xml:space="preserve">08.02.2017 № 145, </w:t>
      </w:r>
      <w:r>
        <w:rPr>
          <w:rStyle w:val="CharStyle12"/>
        </w:rPr>
        <w:t xml:space="preserve">заказчик вправе указывать дополнительные характеристики товара, не предусмотренные позицией каталога, за исключением случаев, когда при закупке товара, включенного в перечень приложения </w:t>
      </w:r>
      <w:r>
        <w:rPr>
          <w:rStyle w:val="CharStyle12"/>
          <w:lang w:val="en-US" w:eastAsia="en-US"/>
        </w:rPr>
        <w:t xml:space="preserve">№ 2 </w:t>
      </w:r>
      <w:r>
        <w:rPr>
          <w:rStyle w:val="CharStyle12"/>
        </w:rPr>
        <w:t xml:space="preserve">к постановлению Правительства </w:t>
      </w:r>
      <w:r>
        <w:rPr>
          <w:rStyle w:val="CharStyle12"/>
          <w:lang w:val="en-US" w:eastAsia="en-US"/>
        </w:rPr>
        <w:t xml:space="preserve">№ 1875, </w:t>
      </w:r>
      <w:r>
        <w:rPr>
          <w:rStyle w:val="CharStyle12"/>
        </w:rPr>
        <w:t>применяются запреты или ограничения допуска.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Поскольку закупаемый товар относится к позиции </w:t>
      </w:r>
      <w:r>
        <w:rPr>
          <w:rStyle w:val="CharStyle12"/>
          <w:lang w:val="en-US" w:eastAsia="en-US"/>
        </w:rPr>
        <w:t xml:space="preserve">337 </w:t>
      </w:r>
      <w:r>
        <w:rPr>
          <w:rStyle w:val="CharStyle12"/>
        </w:rPr>
        <w:t xml:space="preserve">указанного приложения </w:t>
      </w:r>
      <w:r>
        <w:rPr>
          <w:rStyle w:val="CharStyle12"/>
          <w:lang w:val="en-US" w:eastAsia="en-US"/>
        </w:rPr>
        <w:t xml:space="preserve">№ 2 </w:t>
      </w:r>
      <w:r>
        <w:rPr>
          <w:rStyle w:val="CharStyle12"/>
        </w:rPr>
        <w:t xml:space="preserve">Постановления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 xml:space="preserve">на него распространяются ограничения, установленные п.1 Постановления </w:t>
      </w:r>
      <w:r>
        <w:rPr>
          <w:rStyle w:val="CharStyle12"/>
          <w:lang w:val="en-US" w:eastAsia="en-US"/>
        </w:rPr>
        <w:t xml:space="preserve">№ 1875. </w:t>
      </w:r>
      <w:r>
        <w:rPr>
          <w:rStyle w:val="CharStyle12"/>
        </w:rPr>
        <w:t>Следовательно, заказчик не вправе устанавливать дополнительные характеристики, не предусмотренные соответствующей позицией КТРУ. В нарушение указанного требования заказчик включил в описание объекта закупки излишние, отсутствующие в КТРУ характеристики.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На основании изложенного, Комиссия Управления приходит к выводу о том, что вышеуказанный довод Заявителя является обоснованным.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Таким образом, Комиссия Управления приходит к выводу о нарушении Заказчиком положений ч.6 ст.23, п.1 ч.1 ст.33, п.15 ч.1 ст.42 Закона о контрактной системе, что также содержит признаки состава административного правонарушения, ответственность за которое предусмотрена ч.5 ст.7.30.1 Кодекса Российской Федерации об административных правонарушениях.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6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  <w:lang w:val="en-US" w:eastAsia="en-US"/>
        </w:rPr>
        <w:t xml:space="preserve">. </w:t>
      </w:r>
      <w:r>
        <w:rPr>
          <w:rStyle w:val="CharStyle12"/>
        </w:rPr>
        <w:t>Более того, заявитель указал, что проект контракта не содержит условия о номере реестровой записи. В силу Закона о контрактной системе участник, предлагающий российский товар, обязан указать номер реестровой записи из реестра российской промышленной продукции. Проект контракта, являющийся приложением к извещению, не предусматривает графы для заполнения указанного номера.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Согласно ч.1 ст.49 Закона о контрактной системе заявка на участие в закупке должна содержать информацию и документы, предусмотренные пп.«м»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«п» п.1, пп.«а»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«в» п.2, п.5 ч.1 ст.43 Закона о контрактной системе. Заявка также может содержать информацию и документы, предусмотренные подпунктом «д» п.2 ч.1 ст.43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Согласно п.5 ч.1 ст.43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информацию и документы, определенные в соответствии с п.2 ч.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>ст.14 Закона о контрактной системе (в случае, если в извещении об осуществлении закупки, документации о закупке (если Законом о контрактной системе предусмотрена документация о закупке) установлены предусмотренные указанной статьей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9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.1 ст.34 Закона о контрактной системе предусмотрено, что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Законом о контрактной системе извещение об осуществлении закупки или приглашение, документация о закупке, заявка не предусмотрены. В случае, предусмотренном ч.24 ст.22 Закона о контрактной системе,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61" w:right="541" w:bottom="1087" w:left="1097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В свою очередь, представитель Заказчика пояснил, что Приложением </w:t>
      </w:r>
      <w:r>
        <w:rPr>
          <w:rStyle w:val="CharStyle12"/>
          <w:lang w:val="en-US" w:eastAsia="en-US"/>
        </w:rPr>
        <w:t xml:space="preserve">№ 1 </w:t>
      </w:r>
      <w:r>
        <w:rPr>
          <w:rStyle w:val="CharStyle12"/>
        </w:rPr>
        <w:t>к проекту контракта является Спецификация, которая заполняется по итогам определения поставщика в соответствии с заявкой победителя. Указанная Спецификация содержит графу для указания страны происхождения товара, куда вносится номер реестровой записи из реестра российской промышленной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продукции.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Таким образом, проект контракта содержит все необходимые условия для отражения номера реестровой записи.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Вместе с этим Комиссия Управления отмечает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Пп.1 ч.2 ст.21.1 Закона о контрактной системе определено, что правительством Российской Федерации устанавливаются единые требования к операторам электронных площадок, операторам специализированных электронных площадок, электронным площадкам, специализированным электронным площадкам и функционированию электронных площадок, специализированных электронных площадок.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П.1 Постановления Правительства РФ от </w:t>
      </w:r>
      <w:r>
        <w:rPr>
          <w:rStyle w:val="CharStyle12"/>
          <w:lang w:val="en-US" w:eastAsia="en-US"/>
        </w:rPr>
        <w:t xml:space="preserve">08.06.2018 №656 </w:t>
      </w:r>
      <w:r>
        <w:rPr>
          <w:rStyle w:val="CharStyle12"/>
        </w:rPr>
        <w:t xml:space="preserve">«О требованиях к операторам электронных площадок, операторам специализированных электронных площадок, электронным площадкам, специализированным электронным площадкам и функционированию электронных площадок, специализированных электронных площадок, подтверждении соответствия таким требованиям, об утрате юридическим лицом статуса оператора электронной площадки, оператора специализированной электронной площадки» утверждены дополнительные требования к операторам электронных площадок, операторам специализированных электронных площадок и функционированию электронных площадок, специализированных электронных площадок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Дополнительные требования).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П.31 Дополнительных требований определено, что формирование и размещение на электронной площадке, специализированной электронной площадке заявки на участие в закупке осуществляются в соответствии со следующими требованиями:</w:t>
      </w:r>
    </w:p>
    <w:p>
      <w:pPr>
        <w:pStyle w:val="Style11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11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заявка на участие в закупке формируется участником закупки с использованием электронной площадки, специализированной электронной площадки путем заполнения экранных форм ее веб-интерфейса и (или) приложения электронного документа, содержащего информацию, сформированную без использования электронной площадки, специализированной площадки, в том числе электронного образа бумажного документа (документа на бумажном носителе, преобразованного в электронную форму путем сканирования с сохранением его реквизитов в файле в формате </w:t>
      </w:r>
      <w:r>
        <w:rPr>
          <w:rStyle w:val="CharStyle12"/>
          <w:lang w:val="en-US" w:eastAsia="en-US"/>
        </w:rPr>
        <w:t>PDF);</w:t>
      </w:r>
    </w:p>
    <w:p>
      <w:pPr>
        <w:pStyle w:val="Style11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11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путем заполнения экранных форм веб-интерфейса электронной площадки, специализированной электронной площадки подлежат указанию:</w:t>
      </w:r>
    </w:p>
    <w:p>
      <w:pPr>
        <w:pStyle w:val="Style11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95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товарный знак (при наличии у товара товарного знака);</w:t>
      </w:r>
    </w:p>
    <w:p>
      <w:pPr>
        <w:pStyle w:val="Style11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11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характеристики предлагаемого участником закупки товара в части характеристик, содержащихся в извещении об осуществлении закупки в соответствии с пунктом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42 </w:t>
      </w:r>
      <w:r>
        <w:rPr>
          <w:rStyle w:val="CharStyle12"/>
        </w:rPr>
        <w:t xml:space="preserve">Федерального закона, в приглашении принять участие в определении поставщика (подрядчика, исполнителя) в соответствии с пунктом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75 </w:t>
      </w:r>
      <w:r>
        <w:rPr>
          <w:rStyle w:val="CharStyle12"/>
        </w:rPr>
        <w:t>Федерального закона соответственно;</w:t>
      </w:r>
    </w:p>
    <w:p>
      <w:pPr>
        <w:pStyle w:val="Style11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11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наименование страны происхождения товара (в соответствии с Общероссийским классификатором стран мира);</w:t>
      </w:r>
    </w:p>
    <w:p>
      <w:pPr>
        <w:pStyle w:val="Style11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924" w:val="left"/>
        </w:tabs>
        <w:bidi w:val="0"/>
        <w:spacing w:before="0" w:after="0" w:line="276" w:lineRule="auto"/>
        <w:ind w:left="0" w:right="0" w:firstLine="700"/>
        <w:jc w:val="both"/>
        <w:rPr>
          <w:sz w:val="24"/>
          <w:szCs w:val="24"/>
        </w:rPr>
        <w:sectPr>
          <w:headerReference w:type="default" r:id="rId17"/>
          <w:footerReference w:type="default" r:id="rId18"/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677" w:left="1106" w:header="0" w:footer="249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номер реестровой записи (при наличии такого номера) из реестра российской промышленной продукции, предусмотренного Федеральным законом «О промышленной политике в Российской Федерации», в отношении товара (в том </w:t>
      </w:r>
      <w:r>
        <w:rPr>
          <w:rStyle w:val="CharStyle12"/>
          <w:sz w:val="24"/>
          <w:szCs w:val="24"/>
          <w:lang w:val="en-US" w:eastAsia="en-US"/>
        </w:rPr>
        <w:t>2026-24067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числе поставляемого при выполнении закупаемых работ, оказании закупаемых услуг), указанного в позициях </w:t>
      </w:r>
      <w:r>
        <w:rPr>
          <w:rStyle w:val="CharStyle12"/>
          <w:lang w:val="en-US" w:eastAsia="en-US"/>
        </w:rPr>
        <w:t xml:space="preserve">1 - 145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№1 </w:t>
      </w:r>
      <w:r>
        <w:rPr>
          <w:rStyle w:val="CharStyle12"/>
        </w:rPr>
        <w:t xml:space="preserve">к Постановлению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 xml:space="preserve">позициях </w:t>
      </w:r>
      <w:r>
        <w:rPr>
          <w:rStyle w:val="CharStyle12"/>
          <w:lang w:val="en-US" w:eastAsia="en-US"/>
        </w:rPr>
        <w:t xml:space="preserve">1 - 433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№2 </w:t>
      </w:r>
      <w:r>
        <w:rPr>
          <w:rStyle w:val="CharStyle12"/>
        </w:rPr>
        <w:t xml:space="preserve">к Постановлению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 xml:space="preserve">если при осуществлении закупки применяются запрет и (или) ограничение, предусмотренные п.1 Постановления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 xml:space="preserve">и в соответствии с абзацем четвертым настоящего подпункта страной происхождения товара указана Российская Федерация. В случае если в отношении такого товара постановлением Правительства Российской Федерации от </w:t>
      </w:r>
      <w:r>
        <w:rPr>
          <w:rStyle w:val="CharStyle12"/>
          <w:lang w:val="en-US" w:eastAsia="en-US"/>
        </w:rPr>
        <w:t xml:space="preserve">17 </w:t>
      </w:r>
      <w:r>
        <w:rPr>
          <w:rStyle w:val="CharStyle12"/>
        </w:rPr>
        <w:t xml:space="preserve">июля </w:t>
      </w:r>
      <w:r>
        <w:rPr>
          <w:rStyle w:val="CharStyle12"/>
          <w:lang w:val="en-US" w:eastAsia="en-US"/>
        </w:rPr>
        <w:t xml:space="preserve">2015 </w:t>
      </w:r>
      <w:r>
        <w:rPr>
          <w:rStyle w:val="CharStyle12"/>
        </w:rPr>
        <w:t xml:space="preserve">г. </w:t>
      </w:r>
      <w:r>
        <w:rPr>
          <w:rStyle w:val="CharStyle12"/>
          <w:lang w:val="en-US" w:eastAsia="en-US"/>
        </w:rPr>
        <w:t xml:space="preserve">№719 </w:t>
      </w:r>
      <w:r>
        <w:rPr>
          <w:rStyle w:val="CharStyle12"/>
        </w:rPr>
        <w:t>«О подтверждении производства российской промышленной продукции» за выполнение (освоение) на территории Российской Федерации соответствующих операций (условий) установлены требования о совокупном количестве баллов, указывается совокупное количество баллов за выполнение (освоение) на территории Российской Федерации соответствующих операций (условий);</w:t>
      </w:r>
    </w:p>
    <w:p>
      <w:pPr>
        <w:pStyle w:val="Style11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94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номер реестровой записи (при наличии такого номера) из евразийского реестра промышленных товаров государств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членов Евразийского экономического союза, порядок формирования и ведения которого устанавливается правом Евразийского экономического союза, в отношении товара (в том числе поставляемого при выполнении закупаемых работ, оказании закупаемых услуг), указанного в позициях </w:t>
      </w:r>
      <w:r>
        <w:rPr>
          <w:rStyle w:val="CharStyle12"/>
          <w:lang w:val="en-US" w:eastAsia="en-US"/>
        </w:rPr>
        <w:t xml:space="preserve">1 - 145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№1 </w:t>
      </w:r>
      <w:r>
        <w:rPr>
          <w:rStyle w:val="CharStyle12"/>
        </w:rPr>
        <w:t xml:space="preserve">к Постановлению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 xml:space="preserve">позициях </w:t>
      </w:r>
      <w:r>
        <w:rPr>
          <w:rStyle w:val="CharStyle12"/>
          <w:lang w:val="en-US" w:eastAsia="en-US"/>
        </w:rPr>
        <w:t xml:space="preserve">1 - 433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№2 </w:t>
      </w:r>
      <w:r>
        <w:rPr>
          <w:rStyle w:val="CharStyle12"/>
        </w:rPr>
        <w:t xml:space="preserve">к Постановлению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 xml:space="preserve">если при осуществлении закупки применяются запрет и (или) ограничение, предусмотренные пунктом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Постановлению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 xml:space="preserve">и в соответствии с абзацем четвертым настоящего подпункта страной происхождения товара указано государство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член Евразийского экономического союза, за исключением Российской Федерации. При этом указывается совокупное количество баллов за выполнение (освоение) на территории Евразийского экономического союза соответствующих операций (условий), если в отношении такого товара правом Евразийского экономического союза установлены требования о совокупном количестве баллов за выполнение (освоение) на территории Евразийского экономического союза соответствующих операций (условий).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При этом Комиссия Управления приходит к выводу, что номер реестровой записи должен быть представлен участником закупки именно в структурированной форме заявки, так как из содержания данной формы в силу прямого программно</w:t>
        <w:softHyphen/>
        <w:t>технического взаимодействия осуществляется импорт соответствующих сведений в проект контракта, формируемый по результатам определения поставщика.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На основании вышеизложенного, у Комиссии Управления отсутствуют правовые основания для признания комиссии Заказчика нарушившей требования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011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rStyle w:val="CharStyle12"/>
        </w:rPr>
        <w:t>Признать жалобу ИП Найданов А.А на действия ФКУ СИЗО-5 ГУФСИН России по г. Москве обоснованной в части.</w:t>
      </w:r>
    </w:p>
    <w:p>
      <w:pPr>
        <w:pStyle w:val="Style11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011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rStyle w:val="CharStyle12"/>
        </w:rPr>
        <w:t>Признать в действиях Заказчика нарушения ч.6 ст.23, п.1 ч.1 ст.33, п.15 ч.1 ст.42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rStyle w:val="CharStyle12"/>
        </w:rPr>
        <w:t>Обязательное для исполнения предписание об устранении нарушений законодательства о контрактной системе Заказчику не выдавать, поскольку выявленные нарушения не повлияли на результаты определения поставщика (подрядчика, исполнителя).</w:t>
      </w:r>
    </w:p>
    <w:p>
      <w:pPr>
        <w:pStyle w:val="Style11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011" w:val="left"/>
        </w:tabs>
        <w:bidi w:val="0"/>
        <w:spacing w:before="0" w:after="200" w:line="240" w:lineRule="auto"/>
        <w:ind w:left="0" w:right="0" w:firstLine="620"/>
        <w:jc w:val="both"/>
      </w:pPr>
      <w:r>
        <w:rPr>
          <w:rStyle w:val="CharStyle12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установленным гл.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АПК РФ.</w:t>
      </w:r>
    </w:p>
    <w:p>
      <w:pPr>
        <w:widowControl w:val="0"/>
        <w:spacing w:line="1" w:lineRule="exact"/>
        <w:sectPr>
          <w:headerReference w:type="default" r:id="rId19"/>
          <w:footerReference w:type="default" r:id="rId20"/>
          <w:footnotePr>
            <w:pos w:val="pageBottom"/>
            <w:numFmt w:val="decimal"/>
            <w:numRestart w:val="continuous"/>
          </w:footnotePr>
          <w:pgSz w:w="11900" w:h="16840"/>
          <w:pgMar w:top="1158" w:right="535" w:bottom="1955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36600" distB="215900" distL="0" distR="0" simplePos="0" relativeHeight="125829379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736600</wp:posOffset>
                </wp:positionV>
                <wp:extent cx="1844040" cy="250190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58.pt;margin-top:58.pt;width:145.20000000000002pt;height:19.699999999999999pt;z-index:-125829374;mso-wrap-distance-left:0;mso-wrap-distance-top:58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806450" distB="0" distL="0" distR="1786255" simplePos="0" relativeHeight="125829381" behindDoc="0" locked="0" layoutInCell="1" allowOverlap="1">
            <wp:simplePos x="0" y="0"/>
            <wp:positionH relativeFrom="page">
              <wp:posOffset>3105150</wp:posOffset>
            </wp:positionH>
            <wp:positionV relativeFrom="paragraph">
              <wp:posOffset>806450</wp:posOffset>
            </wp:positionV>
            <wp:extent cx="359410" cy="396240"/>
            <wp:wrapTopAndBottom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894715</wp:posOffset>
                </wp:positionV>
                <wp:extent cx="1722120" cy="25908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7.60000000000002pt;margin-top:70.45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36600" distB="215900" distL="0" distR="0" simplePos="0" relativeHeight="125829382" behindDoc="0" locked="0" layoutInCell="1" allowOverlap="1">
                <wp:simplePos x="0" y="0"/>
                <wp:positionH relativeFrom="page">
                  <wp:posOffset>5906135</wp:posOffset>
                </wp:positionH>
                <wp:positionV relativeFrom="paragraph">
                  <wp:posOffset>736600</wp:posOffset>
                </wp:positionV>
                <wp:extent cx="1307465" cy="250190"/>
                <wp:wrapTopAndBottom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465.05000000000001pt;margin-top:58.pt;width:102.95pt;height:19.699999999999999pt;z-index:-125829371;mso-wrap-distance-left:0;mso-wrap-distance-top:58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0"/>
          <w:color w:val="FFFFFF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Кутейников Антон Андреевич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67950889C45403E5BD9EBC88A8D80C0D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rStyle w:val="CharStyle22"/>
        </w:rPr>
        <w:t xml:space="preserve">Действителен с 19.05.2025 </w:t>
      </w:r>
      <w:r>
        <w:rPr>
          <w:rStyle w:val="CharStyle22"/>
          <w:color w:val="5E5E5E"/>
        </w:rPr>
        <w:t xml:space="preserve">по </w:t>
      </w:r>
      <w:r>
        <w:rPr>
          <w:rStyle w:val="CharStyle22"/>
        </w:rPr>
        <w:t>12.08.2026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3105150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30" name="Shape 3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box 31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3565525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7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280.75pt;margin-top:36.899999999999999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7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277.60000000000002pt;margin-top:11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Е.С. Переверзева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ПЕРЕВЕРЗЕВА ЕЛИЗАВЕТА СЕРГЕЕВНА</w:t>
      </w:r>
      <w:r>
        <w:rPr>
          <w:rStyle w:val="CharStyle22"/>
          <w:color w:val="000000"/>
        </w:rPr>
        <w:t xml:space="preserve"> </w:t>
      </w: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00FFF3ACD3A01A73F4C680C3941</w:t>
      </w:r>
      <w:r>
        <w:rPr>
          <w:rStyle w:val="CharStyle22"/>
        </w:rPr>
        <w:t>ЕЗСА026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320"/>
        <w:ind w:right="0" w:firstLine="0"/>
        <w:jc w:val="left"/>
      </w:pPr>
      <w:r>
        <w:rPr>
          <w:rStyle w:val="CharStyle22"/>
        </w:rPr>
        <w:t xml:space="preserve">Действителен с 11.12.2025 </w:t>
      </w:r>
      <w:r>
        <w:rPr>
          <w:rStyle w:val="CharStyle22"/>
          <w:color w:val="5E5E5E"/>
        </w:rPr>
        <w:t xml:space="preserve">по </w:t>
      </w:r>
      <w:r>
        <w:rPr>
          <w:rStyle w:val="CharStyle22"/>
        </w:rPr>
        <w:t>06.03.2027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31035" simplePos="0" relativeHeight="125829385" behindDoc="0" locked="0" layoutInCell="1" allowOverlap="1">
            <wp:simplePos x="0" y="0"/>
            <wp:positionH relativeFrom="page">
              <wp:posOffset>3135630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36" name="Shape 3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box 37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38" name="Shape 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4" type="#_x0000_t202" style="position:absolute;margin-left:277.60000000000002pt;margin-top:11.8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А.С. Гелмутдинова</w: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0"/>
          <w:color w:val="FFFFFF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ГЕЛМУТДИНОВА АНАСТАСИЯ СЕРГЕЕВНА</w:t>
      </w:r>
      <w:r>
        <w:rPr>
          <w:rStyle w:val="CharStyle22"/>
          <w:color w:val="000000"/>
        </w:rPr>
        <w:t xml:space="preserve"> </w:t>
      </w: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</w:rPr>
        <w:t>723501СС21703599976371</w:t>
      </w:r>
      <w:r>
        <w:rPr>
          <w:rStyle w:val="CharStyle22"/>
          <w:lang w:val="en-US" w:eastAsia="en-US"/>
        </w:rPr>
        <w:t>4F5C652689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080"/>
        <w:ind w:right="0" w:firstLine="0"/>
        <w:jc w:val="left"/>
      </w:pPr>
      <w:r>
        <w:rPr>
          <w:rStyle w:val="CharStyle22"/>
        </w:rPr>
        <w:t xml:space="preserve">Действителен с 09.02.2026 </w:t>
      </w:r>
      <w:r>
        <w:rPr>
          <w:rStyle w:val="CharStyle22"/>
          <w:color w:val="5E5E5E"/>
        </w:rPr>
        <w:t xml:space="preserve">по </w:t>
      </w:r>
      <w:r>
        <w:rPr>
          <w:rStyle w:val="CharStyle22"/>
        </w:rPr>
        <w:t>05.05.2027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7"/>
        </w:rPr>
        <w:t>Исп.Переверзева Е.С. тел.(495)784-75-05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10094595</wp:posOffset>
              </wp:positionV>
              <wp:extent cx="72517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2026-24067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050000000000004pt;margin-top:794.85000000000002pt;width:57.100000000000001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2026-24067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10214610</wp:posOffset>
              </wp:positionV>
              <wp:extent cx="719455" cy="12827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2026-24067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25pt;margin-top:804.30000000000007pt;width:56.649999999999999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2026-24067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10094595</wp:posOffset>
              </wp:positionV>
              <wp:extent cx="725170" cy="103505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2026-24067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57.050000000000004pt;margin-top:794.85000000000002pt;width:57.100000000000001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2026-24067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10094595</wp:posOffset>
              </wp:positionV>
              <wp:extent cx="725170" cy="103505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2026-24067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6" type="#_x0000_t202" style="position:absolute;margin-left:57.050000000000004pt;margin-top:794.85000000000002pt;width:57.100000000000001pt;height:8.1500000000000004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2026-24067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3888105</wp:posOffset>
              </wp:positionH>
              <wp:positionV relativeFrom="page">
                <wp:posOffset>385445</wp:posOffset>
              </wp:positionV>
              <wp:extent cx="133985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398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6.15000000000003pt;margin-top:30.350000000000001pt;width:10.550000000000001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509270</wp:posOffset>
              </wp:positionV>
              <wp:extent cx="73025" cy="8509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309.pt;margin-top:40.100000000000001pt;width:5.75pt;height:6.7000000000000002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3888105</wp:posOffset>
              </wp:positionH>
              <wp:positionV relativeFrom="page">
                <wp:posOffset>385445</wp:posOffset>
              </wp:positionV>
              <wp:extent cx="133985" cy="6985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398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306.15000000000003pt;margin-top:30.350000000000001pt;width:10.550000000000001pt;height:5.5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509270</wp:posOffset>
              </wp:positionV>
              <wp:extent cx="73025" cy="85090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309.pt;margin-top:40.100000000000001pt;width:5.75pt;height:6.7000000000000002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3888105</wp:posOffset>
              </wp:positionH>
              <wp:positionV relativeFrom="page">
                <wp:posOffset>385445</wp:posOffset>
              </wp:positionV>
              <wp:extent cx="133985" cy="69850"/>
              <wp:wrapNone/>
              <wp:docPr id="18" name="Shape 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398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306.15000000000003pt;margin-top:30.350000000000001pt;width:10.550000000000001pt;height:5.5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1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2">
    <w:multiLevelType w:val="multilevel"/>
    <w:lvl w:ilvl="0">
      <w:start w:val="2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1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1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Picture caption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0">
    <w:name w:val="Body text (4)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2">
    <w:name w:val="Body text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7">
    <w:name w:val="Body text (5)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Picture caption"/>
    <w:basedOn w:val="Normal"/>
    <w:link w:val="CharStyle17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9">
    <w:name w:val="Body text (4)"/>
    <w:basedOn w:val="Normal"/>
    <w:link w:val="CharStyle20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1">
    <w:name w:val="Body text (2)"/>
    <w:basedOn w:val="Normal"/>
    <w:link w:val="CharStyle22"/>
    <w:pPr>
      <w:widowControl w:val="0"/>
      <w:shd w:val="clear" w:color="auto" w:fill="auto"/>
      <w:spacing w:line="266" w:lineRule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6">
    <w:name w:val="Body text (5)"/>
    <w:basedOn w:val="Normal"/>
    <w:link w:val="CharStyle27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header" Target="header5.xml"/><Relationship Id="rId18" Type="http://schemas.openxmlformats.org/officeDocument/2006/relationships/footer" Target="footer5.xml"/><Relationship Id="rId19" Type="http://schemas.openxmlformats.org/officeDocument/2006/relationships/header" Target="header6.xml"/><Relationship Id="rId20" Type="http://schemas.openxmlformats.org/officeDocument/2006/relationships/footer" Target="footer6.xml"/><Relationship Id="rId21" Type="http://schemas.openxmlformats.org/officeDocument/2006/relationships/image" Target="media/image3.jpeg"/><Relationship Id="rId22" Type="http://schemas.openxmlformats.org/officeDocument/2006/relationships/image" Target="media/image3.jpeg" TargetMode="External"/><Relationship Id="rId23" Type="http://schemas.openxmlformats.org/officeDocument/2006/relationships/image" Target="media/image4.jpeg"/><Relationship Id="rId24" Type="http://schemas.openxmlformats.org/officeDocument/2006/relationships/image" Target="media/image4.jpeg" TargetMode="External"/><Relationship Id="rId25" Type="http://schemas.openxmlformats.org/officeDocument/2006/relationships/image" Target="media/image5.jpeg"/><Relationship Id="rId26" Type="http://schemas.openxmlformats.org/officeDocument/2006/relationships/image" Target="media/image5.jpeg" TargetMode="External"/></Relationships>
</file>