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3810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0" distL="114300" distR="114300" simplePos="0" relativeHeight="125829379" behindDoc="0" locked="0" layoutInCell="1" allowOverlap="1">
            <wp:simplePos x="0" y="0"/>
            <wp:positionH relativeFrom="page">
              <wp:posOffset>708660</wp:posOffset>
            </wp:positionH>
            <wp:positionV relativeFrom="paragraph">
              <wp:posOffset>3069590</wp:posOffset>
            </wp:positionV>
            <wp:extent cx="219710" cy="213360"/>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19710" cy="213360"/>
                    </a:xfrm>
                    <a:prstGeom prst="rect"/>
                  </pic:spPr>
                </pic:pic>
              </a:graphicData>
            </a:graphic>
          </wp:anchor>
        </w:drawing>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pPr>
      <w:r>
        <w:rPr>
          <w:rStyle w:val="CharStyle3"/>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420"/>
        <w:jc w:val="both"/>
      </w:pPr>
      <w:r>
        <w:rPr>
          <w:rStyle w:val="CharStyle3"/>
          <w:lang w:val="en-US" w:eastAsia="en-US"/>
        </w:rPr>
        <w:t xml:space="preserve">e-mail: </w:t>
      </w:r>
      <w:r>
        <w:fldChar w:fldCharType="begin"/>
      </w:r>
      <w:r>
        <w:rPr/>
        <w:instrText> HYPERLINK "mailto:to48@fas.gov.ru" </w:instrText>
      </w:r>
      <w:r>
        <w:fldChar w:fldCharType="separate"/>
      </w:r>
      <w:r>
        <w:rPr>
          <w:rStyle w:val="CharStyle3"/>
          <w:lang w:val="en-US" w:eastAsia="en-US"/>
        </w:rPr>
        <w:t>to48@fas.gov.ru</w:t>
      </w:r>
      <w:r>
        <w:fldChar w:fldCharType="end"/>
      </w:r>
      <w:r>
        <w:rPr>
          <w:rStyle w:val="CharStyle3"/>
          <w:lang w:val="en-US" w:eastAsia="en-US"/>
        </w:rPr>
        <w:t xml:space="preserve"> </w:t>
      </w:r>
      <w:r>
        <w:fldChar w:fldCharType="begin"/>
      </w:r>
      <w:r>
        <w:rPr/>
        <w:instrText> HYPERLINK "http://lipetsk.fas.gov.ru" </w:instrText>
      </w:r>
      <w:r>
        <w:fldChar w:fldCharType="separate"/>
      </w:r>
      <w:r>
        <w:rPr>
          <w:rStyle w:val="CharStyle3"/>
          <w:lang w:val="en-US" w:eastAsia="en-US"/>
        </w:rPr>
        <w:t>http://lipetsk.fas.gov.ru</w:t>
      </w:r>
      <w:r>
        <w:fldChar w:fldCharType="end"/>
      </w:r>
    </w:p>
    <w:p>
      <w:pPr>
        <w:pStyle w:val="Style10"/>
        <w:keepNext/>
        <w:keepLines/>
        <w:widowControl w:val="0"/>
        <w:shd w:val="clear" w:color="auto" w:fill="auto"/>
        <w:bidi w:val="0"/>
        <w:spacing w:before="0" w:line="240" w:lineRule="auto"/>
        <w:ind w:left="0" w:right="0" w:firstLine="0"/>
        <w:jc w:val="left"/>
      </w:pPr>
      <w:bookmarkStart w:id="0" w:name="bookmark0"/>
      <w:r>
        <w:rPr>
          <w:rStyle w:val="CharStyle11"/>
        </w:rPr>
        <w:t>1</w:t>
      </w:r>
      <w:r>
        <w:fldChar w:fldCharType="begin"/>
      </w:r>
      <w:r>
        <w:rPr/>
        <w:instrText> HYPERLINK "file://f207ca94-a13c-4ba0-b72d-f018c9eed8f1/" </w:instrText>
      </w:r>
      <w:r>
        <w:fldChar w:fldCharType="separate"/>
      </w:r>
      <w:r>
        <w:rPr>
          <w:rStyle w:val="CharStyle11"/>
        </w:rPr>
        <w:t>9.05.202£</w:t>
      </w:r>
      <w:r>
        <w:fldChar w:fldCharType="end"/>
      </w:r>
      <w:r>
        <w:rPr>
          <w:rStyle w:val="CharStyle11"/>
        </w:rPr>
        <w:t xml:space="preserve"> № </w:t>
      </w:r>
      <w:r>
        <w:rPr>
          <w:rStyle w:val="CharStyle11"/>
          <w:u w:val="single"/>
        </w:rPr>
        <w:t>ИП/3270/2</w:t>
      </w:r>
      <w:r>
        <w:rPr>
          <w:rStyle w:val="CharStyle11"/>
        </w:rPr>
        <w:t>6</w:t>
      </w:r>
      <w:bookmarkEnd w:id="0"/>
    </w:p>
    <w:p>
      <w:pPr>
        <w:pStyle w:val="Style8"/>
        <w:keepNext w:val="0"/>
        <w:keepLines w:val="0"/>
        <w:widowControl w:val="0"/>
        <w:shd w:val="clear" w:color="auto" w:fill="auto"/>
        <w:bidi w:val="0"/>
        <w:spacing w:before="0" w:after="520" w:line="266" w:lineRule="auto"/>
        <w:ind w:left="0" w:right="0" w:firstLine="0"/>
        <w:jc w:val="left"/>
        <w:rPr>
          <w:sz w:val="18"/>
          <w:szCs w:val="18"/>
        </w:rPr>
      </w:pPr>
      <w:r>
        <w:rPr>
          <w:rStyle w:val="CharStyle9"/>
          <w:sz w:val="18"/>
          <w:szCs w:val="18"/>
        </w:rPr>
        <w:t xml:space="preserve">На №  от</w:t>
      </w:r>
    </w:p>
    <w:p>
      <w:pPr>
        <w:widowControl w:val="0"/>
        <w:jc w:val="right"/>
        <w:rPr>
          <w:sz w:val="2"/>
          <w:szCs w:val="2"/>
        </w:rPr>
      </w:pPr>
      <w:r>
        <w:drawing>
          <wp:inline>
            <wp:extent cx="219710" cy="219710"/>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pic:blipFill>
                  <pic:spPr>
                    <a:xfrm>
                      <a:ext cx="219710" cy="219710"/>
                    </a:xfrm>
                    <a:prstGeom prst="rect"/>
                  </pic:spPr>
                </pic:pic>
              </a:graphicData>
            </a:graphic>
          </wp:inline>
        </w:drawing>
      </w:r>
    </w:p>
    <w:p>
      <w:pPr>
        <w:pStyle w:val="Style14"/>
        <w:keepNext w:val="0"/>
        <w:keepLines w:val="0"/>
        <w:widowControl w:val="0"/>
        <w:shd w:val="clear" w:color="auto" w:fill="auto"/>
        <w:bidi w:val="0"/>
        <w:spacing w:before="0" w:after="0" w:line="240" w:lineRule="auto"/>
        <w:ind w:left="0" w:right="0" w:firstLine="0"/>
        <w:jc w:val="left"/>
      </w:pPr>
      <w:r>
        <w:rPr>
          <w:rStyle w:val="CharStyle15"/>
        </w:rPr>
        <w:t>Электронная торговая площадка</w:t>
      </w:r>
    </w:p>
    <w:p>
      <w:pPr>
        <w:pStyle w:val="Style14"/>
        <w:keepNext w:val="0"/>
        <w:keepLines w:val="0"/>
        <w:widowControl w:val="0"/>
        <w:shd w:val="clear" w:color="auto" w:fill="auto"/>
        <w:bidi w:val="0"/>
        <w:spacing w:before="0" w:after="0" w:line="240" w:lineRule="auto"/>
        <w:ind w:left="0" w:right="0" w:firstLine="0"/>
        <w:jc w:val="left"/>
      </w:pPr>
      <w:r>
        <w:rPr>
          <w:rStyle w:val="CharStyle15"/>
        </w:rPr>
        <w:t>«Фабрикант»</w:t>
      </w:r>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"mailto:info@fabrikant.ru" </w:instrText>
      </w:r>
      <w:r>
        <w:fldChar w:fldCharType="separate"/>
      </w:r>
      <w:r>
        <w:rPr>
          <w:rStyle w:val="CharStyle15"/>
          <w:lang w:val="en-US" w:eastAsia="en-US"/>
        </w:rPr>
        <w:t>info@fabrikant.ru</w:t>
      </w:r>
      <w:r>
        <w:fldChar w:fldCharType="end"/>
      </w:r>
      <w:r>
        <w:rPr>
          <w:rStyle w:val="CharStyle15"/>
          <w:lang w:val="en-US" w:eastAsia="en-US"/>
        </w:rPr>
        <w:t xml:space="preserve">, </w:t>
      </w:r>
      <w:r>
        <w:fldChar w:fldCharType="begin"/>
      </w:r>
      <w:r>
        <w:rPr/>
        <w:instrText> HYPERLINK "mailto:auditors@fabrikant.ru" </w:instrText>
      </w:r>
      <w:r>
        <w:fldChar w:fldCharType="separate"/>
      </w:r>
      <w:r>
        <w:rPr>
          <w:rStyle w:val="CharStyle15"/>
          <w:lang w:val="en-US" w:eastAsia="en-US"/>
        </w:rPr>
        <w:t>auditors@fabrikant.ru</w:t>
      </w:r>
      <w:r>
        <w:fldChar w:fldCharType="end"/>
      </w:r>
      <w:r>
        <w:rPr>
          <w:rStyle w:val="CharStyle15"/>
          <w:lang w:val="en-US" w:eastAsia="en-US"/>
        </w:rPr>
        <w:t xml:space="preserve">, </w:t>
      </w:r>
      <w:r>
        <w:fldChar w:fldCharType="begin"/>
      </w:r>
      <w:r>
        <w:rPr/>
        <w:instrText> HYPERLINK "mailto:auditors@etpz.ru" </w:instrText>
      </w:r>
      <w:r>
        <w:fldChar w:fldCharType="separate"/>
      </w:r>
      <w:r>
        <w:rPr>
          <w:rStyle w:val="CharStyle15"/>
          <w:lang w:val="en-US" w:eastAsia="en-US"/>
        </w:rPr>
        <w:t>auditors@etpz.ru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государственное учреждение</w:t>
      </w:r>
    </w:p>
    <w:p>
      <w:pPr>
        <w:pStyle w:val="Style14"/>
        <w:keepNext w:val="0"/>
        <w:keepLines w:val="0"/>
        <w:widowControl w:val="0"/>
        <w:shd w:val="clear" w:color="auto" w:fill="auto"/>
        <w:bidi w:val="0"/>
        <w:spacing w:before="0" w:after="0" w:line="240" w:lineRule="auto"/>
        <w:ind w:left="0" w:right="0" w:firstLine="0"/>
        <w:jc w:val="left"/>
      </w:pPr>
      <w:r>
        <w:rPr>
          <w:rStyle w:val="CharStyle15"/>
        </w:rPr>
        <w:t>здравоохранения "Липецкий областной перинатальный центр"</w:t>
      </w:r>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"mailto:lopc@zdrav48.ru" </w:instrText>
      </w:r>
      <w:r>
        <w:fldChar w:fldCharType="separate"/>
      </w:r>
      <w:r>
        <w:rPr>
          <w:rStyle w:val="CharStyle15"/>
          <w:lang w:val="en-US" w:eastAsia="en-US"/>
        </w:rPr>
        <w:t>lopc@zdrav48.ru</w:t>
      </w:r>
      <w:r>
        <w:fldChar w:fldCharType="end"/>
      </w:r>
      <w:r>
        <w:rPr>
          <w:rStyle w:val="CharStyle15"/>
          <w:lang w:val="en-US" w:eastAsia="en-US"/>
        </w:rPr>
        <w:t xml:space="preserve">, </w:t>
      </w:r>
      <w:r>
        <w:fldChar w:fldCharType="begin"/>
      </w:r>
      <w:r>
        <w:rPr/>
        <w:instrText> HYPERLINK "mailto:annaperonatal@mail.ru" </w:instrText>
      </w:r>
      <w:r>
        <w:fldChar w:fldCharType="separate"/>
      </w:r>
      <w:r>
        <w:rPr>
          <w:rStyle w:val="CharStyle15"/>
          <w:lang w:val="en-US" w:eastAsia="en-US"/>
        </w:rPr>
        <w:t>annaperonatal@mail.ru</w:t>
      </w:r>
      <w:r>
        <w:fldChar w:fldCharType="end"/>
      </w:r>
      <w:r>
        <w:rPr>
          <w:rStyle w:val="CharStyle15"/>
          <w:lang w:val="en-US" w:eastAsia="en-US"/>
        </w:rPr>
        <w:t xml:space="preserve">, </w:t>
      </w:r>
      <w:r>
        <w:fldChar w:fldCharType="begin"/>
      </w:r>
      <w:r>
        <w:rPr/>
        <w:instrText> HYPERLINK "mailto:oblperonatal@mail.ru" </w:instrText>
      </w:r>
      <w:r>
        <w:fldChar w:fldCharType="separate"/>
      </w:r>
      <w:r>
        <w:rPr>
          <w:rStyle w:val="CharStyle15"/>
          <w:lang w:val="en-US" w:eastAsia="en-US"/>
        </w:rPr>
        <w:t>oblperonatal@mail.ru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Индивидуальный предприниматель</w:t>
      </w:r>
    </w:p>
    <w:p>
      <w:pPr>
        <w:pStyle w:val="Style14"/>
        <w:keepNext w:val="0"/>
        <w:keepLines w:val="0"/>
        <w:widowControl w:val="0"/>
        <w:shd w:val="clear" w:color="auto" w:fill="auto"/>
        <w:bidi w:val="0"/>
        <w:spacing w:before="0" w:after="0" w:line="240" w:lineRule="auto"/>
        <w:ind w:left="0" w:right="0" w:firstLine="0"/>
        <w:jc w:val="left"/>
      </w:pPr>
      <w:r>
        <w:rPr>
          <w:rStyle w:val="CharStyle15"/>
        </w:rPr>
        <w:t>Подоляцкий Николай Сергеевич</w:t>
      </w:r>
    </w:p>
    <w:p>
      <w:pPr>
        <w:pStyle w:val="Style14"/>
        <w:keepNext w:val="0"/>
        <w:keepLines w:val="0"/>
        <w:widowControl w:val="0"/>
        <w:shd w:val="clear" w:color="auto" w:fill="auto"/>
        <w:bidi w:val="0"/>
        <w:spacing w:before="0" w:after="0" w:line="240" w:lineRule="auto"/>
        <w:ind w:left="0" w:right="0" w:firstLine="0"/>
        <w:jc w:val="left"/>
        <w:sectPr>
          <w:footerReference w:type="default" r:id="rId11"/>
          <w:footerReference w:type="first" r:id="rId12"/>
          <w:footnotePr>
            <w:pos w:val="pageBottom"/>
            <w:numFmt w:val="decimal"/>
            <w:numRestart w:val="continuous"/>
          </w:footnotePr>
          <w:pgSz w:w="11900" w:h="16840"/>
          <w:pgMar w:top="279" w:right="666" w:bottom="1154" w:left="1135" w:header="0" w:footer="3" w:gutter="0"/>
          <w:pgNumType w:start="1"/>
          <w:cols w:num="2" w:space="720" w:equalWidth="0">
            <w:col w:w="4238" w:space="1032"/>
            <w:col w:w="4829"/>
          </w:cols>
          <w:noEndnote/>
          <w:titlePg/>
          <w:rtlGutter w:val="0"/>
          <w:docGrid w:linePitch="360"/>
        </w:sectPr>
      </w:pPr>
      <w:r>
        <w:fldChar w:fldCharType="begin"/>
      </w:r>
      <w:r>
        <w:rPr/>
        <w:instrText> HYPERLINK "mailto:n.podolacky@gmail.com" </w:instrText>
      </w:r>
      <w:r>
        <w:fldChar w:fldCharType="separate"/>
      </w:r>
      <w:r>
        <w:rPr>
          <w:rStyle w:val="CharStyle15"/>
          <w:lang w:val="en-US" w:eastAsia="en-US"/>
        </w:rPr>
        <w:t>n.podolacky@gmail.com</w:t>
      </w:r>
      <w:r>
        <w:fldChar w:fldCharType="end"/>
      </w:r>
    </w:p>
    <w:p>
      <w:pPr>
        <w:widowControl w:val="0"/>
        <w:spacing w:line="131" w:lineRule="exact"/>
        <w:rPr>
          <w:sz w:val="10"/>
          <w:szCs w:val="10"/>
        </w:rPr>
      </w:pPr>
    </w:p>
    <w:p>
      <w:pPr>
        <w:widowControl w:val="0"/>
        <w:spacing w:line="1" w:lineRule="exact"/>
        <w:sectPr>
          <w:footnotePr>
            <w:pos w:val="pageBottom"/>
            <w:numFmt w:val="decimal"/>
            <w:numRestart w:val="continuous"/>
          </w:footnotePr>
          <w:type w:val="continuous"/>
          <w:pgSz w:w="11900" w:h="16840"/>
          <w:pgMar w:top="261" w:right="0" w:bottom="1173"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rStyle w:val="CharStyle15"/>
        </w:rPr>
        <w:t>РЕШЕНИЕ № 048/06/105-446/2026</w:t>
      </w:r>
    </w:p>
    <w:p>
      <w:pPr>
        <w:pStyle w:val="Style14"/>
        <w:keepNext w:val="0"/>
        <w:keepLines w:val="0"/>
        <w:widowControl w:val="0"/>
        <w:shd w:val="clear" w:color="auto" w:fill="auto"/>
        <w:bidi w:val="0"/>
        <w:spacing w:before="0" w:after="60" w:line="259" w:lineRule="auto"/>
        <w:ind w:left="0" w:right="0" w:firstLine="0"/>
        <w:jc w:val="both"/>
        <w:rPr>
          <w:sz w:val="26"/>
          <w:szCs w:val="26"/>
        </w:rPr>
      </w:pPr>
      <w:r>
        <w:rPr>
          <w:rStyle w:val="CharStyle15"/>
          <w:sz w:val="26"/>
          <w:szCs w:val="26"/>
        </w:rPr>
        <w:t>«14» мая 2026 года г. Липецк</w:t>
      </w:r>
    </w:p>
    <w:p>
      <w:pPr>
        <w:pStyle w:val="Style14"/>
        <w:keepNext w:val="0"/>
        <w:keepLines w:val="0"/>
        <w:widowControl w:val="0"/>
        <w:shd w:val="clear" w:color="auto" w:fill="auto"/>
        <w:bidi w:val="0"/>
        <w:spacing w:before="0" w:after="0" w:line="259" w:lineRule="auto"/>
        <w:ind w:left="0" w:right="0" w:firstLine="600"/>
        <w:jc w:val="both"/>
        <w:rPr>
          <w:sz w:val="26"/>
          <w:szCs w:val="26"/>
        </w:rPr>
      </w:pPr>
      <w:r>
        <w:rPr>
          <w:rStyle w:val="CharStyle15"/>
          <w:sz w:val="26"/>
          <w:szCs w:val="26"/>
        </w:rPr>
        <w:t>Резолютивная часть решения оглашена 14.05.2026.</w:t>
      </w:r>
    </w:p>
    <w:p>
      <w:pPr>
        <w:pStyle w:val="Style14"/>
        <w:keepNext w:val="0"/>
        <w:keepLines w:val="0"/>
        <w:widowControl w:val="0"/>
        <w:shd w:val="clear" w:color="auto" w:fill="auto"/>
        <w:bidi w:val="0"/>
        <w:spacing w:before="0" w:after="60" w:line="259" w:lineRule="auto"/>
        <w:ind w:left="0" w:right="0" w:firstLine="600"/>
        <w:jc w:val="both"/>
        <w:rPr>
          <w:sz w:val="26"/>
          <w:szCs w:val="26"/>
        </w:rPr>
      </w:pPr>
      <w:r>
        <w:rPr>
          <w:rStyle w:val="CharStyle15"/>
          <w:sz w:val="26"/>
          <w:szCs w:val="26"/>
        </w:rPr>
        <w:t>Решение в полном объеме изготовлено 19.05.2026.</w:t>
      </w:r>
    </w:p>
    <w:p>
      <w:pPr>
        <w:pStyle w:val="Style14"/>
        <w:keepNext w:val="0"/>
        <w:keepLines w:val="0"/>
        <w:widowControl w:val="0"/>
        <w:shd w:val="clear" w:color="auto" w:fill="auto"/>
        <w:bidi w:val="0"/>
        <w:spacing w:before="0" w:after="0" w:line="240" w:lineRule="auto"/>
        <w:ind w:left="0" w:right="0" w:firstLine="600"/>
        <w:jc w:val="both"/>
      </w:pPr>
      <w:r>
        <w:rPr>
          <w:rStyle w:val="CharStyle15"/>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председатель Комиссии: И.В. Поткина – руководитель управления,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члены Комиссии: В.И. Аникеева – ведущий специалист-эксперт отдела контроля закупок и торгов, Ю.П. Хорина - специалист-эксперт отдела контроля закупок и торгов.</w:t>
      </w:r>
    </w:p>
    <w:p>
      <w:pPr>
        <w:pStyle w:val="Style14"/>
        <w:keepNext w:val="0"/>
        <w:keepLines w:val="0"/>
        <w:widowControl w:val="0"/>
        <w:shd w:val="clear" w:color="auto" w:fill="auto"/>
        <w:bidi w:val="0"/>
        <w:spacing w:before="0" w:after="0" w:line="240" w:lineRule="auto"/>
        <w:ind w:left="0" w:right="0" w:firstLine="600"/>
        <w:jc w:val="both"/>
      </w:pPr>
      <w:r>
        <w:rPr>
          <w:rStyle w:val="CharStyle15"/>
        </w:rPr>
        <w:t>при участии посредством видеоконференцсвязи индивидуального предпринимателя Подоляцкого Николая Сергеевича и представителя государственного учреждения здравоохранения "Липецкий областной перинатальный центр" (далее-заказчик): А.С. Чичкала (по доверенности),</w:t>
      </w:r>
    </w:p>
    <w:p>
      <w:pPr>
        <w:pStyle w:val="Style14"/>
        <w:keepNext w:val="0"/>
        <w:keepLines w:val="0"/>
        <w:widowControl w:val="0"/>
        <w:shd w:val="clear" w:color="auto" w:fill="auto"/>
        <w:bidi w:val="0"/>
        <w:spacing w:before="0" w:after="60" w:line="240" w:lineRule="auto"/>
        <w:ind w:left="0" w:right="0" w:firstLine="600"/>
        <w:jc w:val="both"/>
      </w:pPr>
      <w:r>
        <w:rPr>
          <w:rStyle w:val="CharStyle15"/>
        </w:rPr>
        <w:t>рассмотрев жалобу индивидуального предпринимателя Подоляцкого Николая Сергеевича на положения извещения о проведении электронного аукциона на поставку медицинского изделия устройства для фототерапии новорожденных (облучатель верхнего расположения для фототерапии новорожденных),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0346200005426000098), а также другие документы (копии), представленные сторонами, проведя внеплановую проверку в соответствии со статьей 99</w:t>
      </w:r>
    </w:p>
    <w:p>
      <w:pPr>
        <w:pStyle w:val="Style17"/>
        <w:keepNext/>
        <w:keepLines/>
        <w:widowControl w:val="0"/>
        <w:shd w:val="clear" w:color="auto" w:fill="auto"/>
        <w:bidi w:val="0"/>
        <w:spacing w:before="0" w:line="240" w:lineRule="auto"/>
        <w:ind w:left="0" w:right="0" w:firstLine="0"/>
        <w:jc w:val="both"/>
      </w:pPr>
      <w:bookmarkStart w:id="2" w:name="bookmark2"/>
      <w:r>
        <w:rPr>
          <w:rStyle w:val="CharStyle18"/>
          <w:lang w:val="ru-RU" w:eastAsia="ru-RU"/>
        </w:rPr>
        <w:t xml:space="preserve">шн </w:t>
      </w:r>
      <w:r>
        <w:rPr>
          <w:rStyle w:val="CharStyle18"/>
        </w:rPr>
        <w:t>in min mini in</w:t>
      </w:r>
      <w:bookmarkEnd w:id="2"/>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Федерального закона от </w:t>
      </w:r>
      <w:r>
        <w:rPr>
          <w:rStyle w:val="CharStyle15"/>
          <w:lang w:val="en-US" w:eastAsia="en-US"/>
        </w:rPr>
        <w:t xml:space="preserve">05.04.2013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и на основании приказа Липецкого УФАС России,</w:t>
      </w:r>
    </w:p>
    <w:p>
      <w:pPr>
        <w:pStyle w:val="Style14"/>
        <w:keepNext w:val="0"/>
        <w:keepLines w:val="0"/>
        <w:widowControl w:val="0"/>
        <w:shd w:val="clear" w:color="auto" w:fill="auto"/>
        <w:bidi w:val="0"/>
        <w:spacing w:before="0" w:after="10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 Липецкое УФАС России поступила жалоба индивидуального предпринимателя Подоляцкого Николая Сергеевича на положения извещения об осуществлении закупки при проведении электронного аукциона на поставку медицинского изделия устройства для фототерапии новорожденных (облучатель верхнего расположения для фототерапии новорожденных),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w:t>
      </w:r>
      <w:r>
        <w:rPr>
          <w:rStyle w:val="CharStyle15"/>
          <w:lang w:val="en-US" w:eastAsia="en-US"/>
        </w:rPr>
        <w:t xml:space="preserve">0346200005426000098) </w:t>
      </w:r>
      <w:r>
        <w:rPr>
          <w:rStyle w:val="CharStyle15"/>
        </w:rPr>
        <w:t xml:space="preserve">(далее </w:t>
      </w:r>
      <w:r>
        <w:rPr>
          <w:rStyle w:val="CharStyle15"/>
          <w:lang w:val="en-US" w:eastAsia="en-US"/>
        </w:rPr>
        <w:t xml:space="preserve">- </w:t>
      </w:r>
      <w:r>
        <w:rPr>
          <w:rStyle w:val="CharStyle15"/>
        </w:rPr>
        <w:t>электронный аукцион, закупка).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Жалоба подана в срок, установленный статьей </w:t>
      </w:r>
      <w:r>
        <w:rPr>
          <w:rStyle w:val="CharStyle15"/>
          <w:lang w:val="en-US" w:eastAsia="en-US"/>
        </w:rPr>
        <w:t xml:space="preserve">105 </w:t>
      </w:r>
      <w:r>
        <w:rPr>
          <w:rStyle w:val="CharStyle15"/>
        </w:rPr>
        <w:t xml:space="preserve">Закона о контрактной системе. В связи с этим, жалоба была принята Липецким УФАС России к рассмотрению. Сведения о времени и месте ее рассмотрения размещены Липецким УФАС России в ЕИС, а также направлены сторонам по электронной почте. Заседание Комиссии назначено на </w:t>
      </w:r>
      <w:r>
        <w:rPr>
          <w:rStyle w:val="CharStyle15"/>
          <w:lang w:val="en-US" w:eastAsia="en-US"/>
        </w:rPr>
        <w:t xml:space="preserve">13.05.2026, </w:t>
      </w:r>
      <w:r>
        <w:rPr>
          <w:rStyle w:val="CharStyle15"/>
        </w:rPr>
        <w:t xml:space="preserve">затем объявлен перерыв до </w:t>
      </w:r>
      <w:r>
        <w:rPr>
          <w:rStyle w:val="CharStyle15"/>
          <w:lang w:val="en-US" w:eastAsia="en-US"/>
        </w:rPr>
        <w:t xml:space="preserve">14.05.2026 </w:t>
      </w:r>
      <w:r>
        <w:rPr>
          <w:rStyle w:val="CharStyle15"/>
        </w:rPr>
        <w:t>в целях предоставления от заказчика дополнительной информации.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По мнению Заявителя, описанию объекта закупки соответствует товар единственного производителя, представленного в настоящее время на товарном рынке </w:t>
      </w:r>
      <w:r>
        <w:rPr>
          <w:rStyle w:val="CharStyle15"/>
          <w:lang w:val="en-US" w:eastAsia="en-US"/>
        </w:rPr>
        <w:t xml:space="preserve">- </w:t>
      </w:r>
      <w:r>
        <w:rPr>
          <w:rStyle w:val="CharStyle15"/>
        </w:rPr>
        <w:t xml:space="preserve">фотооблучатель </w:t>
      </w:r>
      <w:r>
        <w:rPr>
          <w:rStyle w:val="CharStyle15"/>
          <w:lang w:val="en-US" w:eastAsia="en-US"/>
        </w:rPr>
        <w:t xml:space="preserve">DIXION XHZ-200, </w:t>
      </w:r>
      <w:r>
        <w:rPr>
          <w:rStyle w:val="CharStyle15"/>
        </w:rPr>
        <w:t xml:space="preserve">Китай, поскольку товар иного производителя, соответствующий характеристикам, указанным в Техническом задании </w:t>
      </w:r>
      <w:r>
        <w:rPr>
          <w:rStyle w:val="CharStyle15"/>
          <w:lang w:val="en-US" w:eastAsia="en-US"/>
        </w:rPr>
        <w:t xml:space="preserve">- </w:t>
      </w:r>
      <w:r>
        <w:rPr>
          <w:rStyle w:val="CharStyle15"/>
        </w:rPr>
        <w:t xml:space="preserve">аппарат для детской фототерапии </w:t>
      </w:r>
      <w:r>
        <w:rPr>
          <w:rStyle w:val="CharStyle15"/>
          <w:lang w:val="en-US" w:eastAsia="en-US"/>
        </w:rPr>
        <w:t xml:space="preserve">Obloo 360, </w:t>
      </w:r>
      <w:r>
        <w:rPr>
          <w:rStyle w:val="CharStyle15"/>
        </w:rPr>
        <w:t xml:space="preserve">производитель </w:t>
      </w:r>
      <w:r>
        <w:rPr>
          <w:rStyle w:val="CharStyle15"/>
          <w:lang w:val="en-US" w:eastAsia="en-US"/>
        </w:rPr>
        <w:t xml:space="preserve">– Mediprema, </w:t>
      </w:r>
      <w:r>
        <w:rPr>
          <w:rStyle w:val="CharStyle15"/>
        </w:rPr>
        <w:t xml:space="preserve">Франция, не производится и в Российскую Федерацию не поставляется с </w:t>
      </w:r>
      <w:r>
        <w:rPr>
          <w:rStyle w:val="CharStyle15"/>
          <w:lang w:val="en-US" w:eastAsia="en-US"/>
        </w:rPr>
        <w:t xml:space="preserve">2019 </w:t>
      </w:r>
      <w:r>
        <w:rPr>
          <w:rStyle w:val="CharStyle15"/>
        </w:rPr>
        <w:t xml:space="preserve">года. При этом, аппарат </w:t>
      </w:r>
      <w:r>
        <w:rPr>
          <w:rStyle w:val="CharStyle15"/>
          <w:lang w:val="en-US" w:eastAsia="en-US"/>
        </w:rPr>
        <w:t xml:space="preserve">Obloo 360 Led </w:t>
      </w:r>
      <w:r>
        <w:rPr>
          <w:rStyle w:val="CharStyle15"/>
        </w:rPr>
        <w:t>(версия со светодиодными лампами) в Российской Федерации Росздравнадзором в качестве медицинского изделия не зарегистрирован, следовательно, не может быть предметом поставки.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Заказчик представил письменные возражения, в которых указал следующее.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Включенные в техническую часть электронного аукциона требования к оборудованию подготовлены с учетом наличия на функционирующем рынке аналогичных товаров минимум двух производителей и данный факт не оспаривается участником, более того, участник сам прямо указывает, что описание объекта закупки соответствует параметрам товара двух производителей, медицинские изделия которых зарегистрированы и внесены в реестр медизделий Росздравнадзора и являются действующими. Описанию объекта закупки соответствует продукция не менее двух производителей: </w:t>
      </w:r>
      <w:r>
        <w:rPr>
          <w:rStyle w:val="CharStyle15"/>
          <w:lang w:val="en-US" w:eastAsia="en-US"/>
        </w:rPr>
        <w:t xml:space="preserve">DIXION XHZ-200 </w:t>
      </w:r>
      <w:r>
        <w:rPr>
          <w:rStyle w:val="CharStyle15"/>
        </w:rPr>
        <w:t xml:space="preserve">и </w:t>
      </w:r>
      <w:r>
        <w:rPr>
          <w:rStyle w:val="CharStyle15"/>
          <w:lang w:val="en-US" w:eastAsia="en-US"/>
        </w:rPr>
        <w:t>Obloo 360.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 функционирующем рынке Российской Федерации аппарате </w:t>
      </w:r>
      <w:r>
        <w:rPr>
          <w:rStyle w:val="CharStyle15"/>
          <w:lang w:val="en-US" w:eastAsia="en-US"/>
        </w:rPr>
        <w:t xml:space="preserve">Obloo 360 </w:t>
      </w:r>
      <w:r>
        <w:rPr>
          <w:rStyle w:val="CharStyle15"/>
        </w:rPr>
        <w:t>находится в свободном обращении, что подтверждается, в т.ч. сведениями из ЕИС. Требований к типу ламп (светодиодные или ртутные) в описании объекта закупки не содержится, что позволяет обеспечить конкуренцию между участниками закупки. Таким образом, сравнение медицинских изделий осуществлено в рамках действующего законодательства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проанализировав представленные сторонами материалы, сведения ЕИС, установила, что доводы жалобы не находят своего подтверждения в связи со следующим.</w:t>
      </w:r>
    </w:p>
    <w:p>
      <w:pPr>
        <w:pStyle w:val="Style14"/>
        <w:keepNext w:val="0"/>
        <w:keepLines w:val="0"/>
        <w:widowControl w:val="0"/>
        <w:shd w:val="clear" w:color="auto" w:fill="auto"/>
        <w:bidi w:val="0"/>
        <w:spacing w:before="0" w:after="0" w:line="240" w:lineRule="auto"/>
        <w:ind w:left="0" w:right="0" w:firstLine="580"/>
        <w:jc w:val="both"/>
      </w:pPr>
      <w:r>
        <w:rPr>
          <w:rStyle w:val="CharStyle15"/>
          <w:lang w:val="en-US" w:eastAsia="en-US"/>
        </w:rPr>
        <w:t xml:space="preserve">28.04.2026 </w:t>
      </w:r>
      <w:r>
        <w:rPr>
          <w:rStyle w:val="CharStyle15"/>
        </w:rPr>
        <w:t xml:space="preserve">в ЕИС размещено извещение об осуществлении закупки с предусмотренными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 приложениями.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Начальная (максимальная) цена контракта </w:t>
      </w:r>
      <w:r>
        <w:rPr>
          <w:rStyle w:val="CharStyle15"/>
          <w:lang w:val="en-US" w:eastAsia="en-US"/>
        </w:rPr>
        <w:t xml:space="preserve">– 1 600 000,00 </w:t>
      </w:r>
      <w:r>
        <w:rPr>
          <w:rStyle w:val="CharStyle15"/>
        </w:rPr>
        <w:t>рублей.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Объект закупки </w:t>
      </w:r>
      <w:r>
        <w:rPr>
          <w:rStyle w:val="CharStyle15"/>
          <w:lang w:val="en-US" w:eastAsia="en-US"/>
        </w:rPr>
        <w:t xml:space="preserve">- </w:t>
      </w:r>
      <w:r>
        <w:rPr>
          <w:rStyle w:val="CharStyle15"/>
        </w:rPr>
        <w:t>медицинское изделие устройство для фототерапии новорожденных (облучатель верхнего расположения для фототерапии новорожденных),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части </w:t>
      </w:r>
      <w:r>
        <w:rPr>
          <w:rStyle w:val="CharStyle15"/>
          <w:lang w:val="en-US" w:eastAsia="en-US"/>
        </w:rPr>
        <w:t xml:space="preserve">1 </w:t>
      </w:r>
      <w:r>
        <w:rPr>
          <w:rStyle w:val="CharStyle15"/>
        </w:rPr>
        <w:t xml:space="preserve">статьи </w:t>
      </w:r>
      <w:r>
        <w:rPr>
          <w:rStyle w:val="CharStyle15"/>
          <w:lang w:val="en-US" w:eastAsia="en-US"/>
        </w:rPr>
        <w:t xml:space="preserve">12 </w:t>
      </w:r>
      <w:r>
        <w:rPr>
          <w:rStyle w:val="CharStyle15"/>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8 </w:t>
      </w:r>
      <w:r>
        <w:rPr>
          <w:rStyle w:val="CharStyle15"/>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предусмотрено, что извещение об осуществлении закупки должно содержать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1"/>
        </w:numPr>
        <w:shd w:val="clear" w:color="auto" w:fill="auto"/>
        <w:tabs>
          <w:tab w:pos="931" w:val="left"/>
        </w:tabs>
        <w:bidi w:val="0"/>
        <w:spacing w:before="0" w:after="0" w:line="240" w:lineRule="auto"/>
        <w:ind w:left="0" w:right="0" w:firstLine="580"/>
        <w:jc w:val="both"/>
      </w:pPr>
      <w:r>
        <w:rPr>
          <w:rStyle w:val="CharStyle15"/>
        </w:rPr>
        <w:t>сопровождение такого указания словами «или эквивалент»;</w:t>
      </w:r>
    </w:p>
    <w:p>
      <w:pPr>
        <w:pStyle w:val="Style14"/>
        <w:keepNext w:val="0"/>
        <w:keepLines w:val="0"/>
        <w:widowControl w:val="0"/>
        <w:numPr>
          <w:ilvl w:val="0"/>
          <w:numId w:val="1"/>
        </w:numPr>
        <w:shd w:val="clear" w:color="auto" w:fill="auto"/>
        <w:tabs>
          <w:tab w:pos="942" w:val="left"/>
        </w:tabs>
        <w:bidi w:val="0"/>
        <w:spacing w:before="0" w:after="0" w:line="240" w:lineRule="auto"/>
        <w:ind w:left="0" w:right="0" w:firstLine="58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w:t>
      </w:r>
    </w:p>
    <w:p>
      <w:pPr>
        <w:pStyle w:val="Style14"/>
        <w:keepNext w:val="0"/>
        <w:keepLines w:val="0"/>
        <w:widowControl w:val="0"/>
        <w:shd w:val="clear" w:color="auto" w:fill="auto"/>
        <w:bidi w:val="0"/>
        <w:spacing w:before="0" w:after="0" w:line="240" w:lineRule="auto"/>
        <w:ind w:left="0" w:right="0" w:firstLine="0"/>
        <w:jc w:val="both"/>
      </w:pPr>
      <w:r>
        <w:rPr>
          <w:rStyle w:val="CharStyle15"/>
        </w:rPr>
        <w:t>используемыми заказчиком;</w:t>
      </w:r>
    </w:p>
    <w:p>
      <w:pPr>
        <w:pStyle w:val="Style14"/>
        <w:keepNext w:val="0"/>
        <w:keepLines w:val="0"/>
        <w:widowControl w:val="0"/>
        <w:numPr>
          <w:ilvl w:val="0"/>
          <w:numId w:val="1"/>
        </w:numPr>
        <w:shd w:val="clear" w:color="auto" w:fill="auto"/>
        <w:tabs>
          <w:tab w:pos="937" w:val="left"/>
        </w:tabs>
        <w:bidi w:val="0"/>
        <w:spacing w:before="0" w:after="0" w:line="240" w:lineRule="auto"/>
        <w:ind w:left="0" w:right="0" w:firstLine="60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1"/>
        </w:numPr>
        <w:shd w:val="clear" w:color="auto" w:fill="auto"/>
        <w:tabs>
          <w:tab w:pos="1085" w:val="left"/>
        </w:tabs>
        <w:bidi w:val="0"/>
        <w:spacing w:before="0" w:after="0" w:line="240" w:lineRule="auto"/>
        <w:ind w:left="0" w:right="0" w:firstLine="600"/>
        <w:jc w:val="both"/>
      </w:pPr>
      <w:r>
        <w:rPr>
          <w:rStyle w:val="CharStyle15"/>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Согласно пункту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заказчик при описании объекта закупки должен использовать при составлении описания объекта показатели, требования, условные обозначения и терминологии,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требованиям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Документация о закупке является по своей правовой природе публичной офертой, которая в силу части </w:t>
      </w:r>
      <w:r>
        <w:rPr>
          <w:rStyle w:val="CharStyle15"/>
          <w:lang w:val="en-US" w:eastAsia="en-US"/>
        </w:rPr>
        <w:t xml:space="preserve">2 </w:t>
      </w:r>
      <w:r>
        <w:rPr>
          <w:rStyle w:val="CharStyle15"/>
        </w:rPr>
        <w:t xml:space="preserve">статьи </w:t>
      </w:r>
      <w:r>
        <w:rPr>
          <w:rStyle w:val="CharStyle15"/>
          <w:lang w:val="en-US" w:eastAsia="en-US"/>
        </w:rPr>
        <w:t xml:space="preserve">437 </w:t>
      </w:r>
      <w:r>
        <w:rPr>
          <w:rStyle w:val="CharStyle15"/>
        </w:rPr>
        <w:t>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w:t>
      </w:r>
    </w:p>
    <w:p>
      <w:pPr>
        <w:pStyle w:val="Style14"/>
        <w:keepNext w:val="0"/>
        <w:keepLines w:val="0"/>
        <w:widowControl w:val="0"/>
        <w:shd w:val="clear" w:color="auto" w:fill="auto"/>
        <w:bidi w:val="0"/>
        <w:spacing w:before="0" w:after="0" w:line="240" w:lineRule="auto"/>
        <w:ind w:left="0" w:right="0" w:firstLine="0"/>
        <w:jc w:val="both"/>
      </w:pPr>
      <w:r>
        <w:rPr>
          <w:rStyle w:val="CharStyle15"/>
        </w:rPr>
        <w:t>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Из пункта </w:t>
      </w:r>
      <w:r>
        <w:rPr>
          <w:rStyle w:val="CharStyle15"/>
          <w:lang w:val="en-US" w:eastAsia="en-US"/>
        </w:rPr>
        <w:t xml:space="preserve">4 </w:t>
      </w:r>
      <w:r>
        <w:rPr>
          <w:rStyle w:val="CharStyle15"/>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5"/>
          <w:lang w:val="en-US" w:eastAsia="en-US"/>
        </w:rPr>
        <w:t xml:space="preserve">08.02.2017 № 145 </w:t>
      </w:r>
      <w:r>
        <w:rPr>
          <w:rStyle w:val="CharStyle15"/>
        </w:rPr>
        <w:t xml:space="preserve">(далее </w:t>
      </w:r>
      <w:r>
        <w:rPr>
          <w:rStyle w:val="CharStyle15"/>
          <w:lang w:val="en-US" w:eastAsia="en-US"/>
        </w:rPr>
        <w:t xml:space="preserve">– </w:t>
      </w:r>
      <w:r>
        <w:rPr>
          <w:rStyle w:val="CharStyle15"/>
        </w:rPr>
        <w:t xml:space="preserve">Правила </w:t>
      </w:r>
      <w:r>
        <w:rPr>
          <w:rStyle w:val="CharStyle15"/>
          <w:lang w:val="en-US" w:eastAsia="en-US"/>
        </w:rPr>
        <w:t xml:space="preserve">№ 145) </w:t>
      </w:r>
      <w:r>
        <w:rPr>
          <w:rStyle w:val="CharStyle15"/>
        </w:rPr>
        <w:t xml:space="preserve">следует, что заказчики обязаны применять информацию, включенную в позицию каталога в соответствии с подпунктами «б» </w:t>
      </w:r>
      <w:r>
        <w:rPr>
          <w:rStyle w:val="CharStyle15"/>
          <w:lang w:val="en-US" w:eastAsia="en-US"/>
        </w:rPr>
        <w:t xml:space="preserve">- </w:t>
      </w:r>
      <w:r>
        <w:rPr>
          <w:rStyle w:val="CharStyle15"/>
        </w:rPr>
        <w:t xml:space="preserve">«и»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 смыслу пунктов </w:t>
      </w:r>
      <w:r>
        <w:rPr>
          <w:rStyle w:val="CharStyle15"/>
          <w:lang w:val="en-US" w:eastAsia="en-US"/>
        </w:rPr>
        <w:t xml:space="preserve">5 </w:t>
      </w:r>
      <w:r>
        <w:rPr>
          <w:rStyle w:val="CharStyle15"/>
        </w:rPr>
        <w:t xml:space="preserve">и </w:t>
      </w:r>
      <w:r>
        <w:rPr>
          <w:rStyle w:val="CharStyle15"/>
          <w:lang w:val="en-US" w:eastAsia="en-US"/>
        </w:rPr>
        <w:t xml:space="preserve">6 </w:t>
      </w:r>
      <w:r>
        <w:rPr>
          <w:rStyle w:val="CharStyle15"/>
        </w:rPr>
        <w:t xml:space="preserve">Правил использования </w:t>
      </w:r>
      <w:r>
        <w:rPr>
          <w:rStyle w:val="CharStyle15"/>
          <w:lang w:val="en-US" w:eastAsia="en-US"/>
        </w:rPr>
        <w:t xml:space="preserve">№ 145, </w:t>
      </w:r>
      <w:r>
        <w:rPr>
          <w:rStyle w:val="CharStyle15"/>
        </w:rPr>
        <w:t xml:space="preserve">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5"/>
          <w:lang w:val="en-US" w:eastAsia="en-US"/>
        </w:rPr>
        <w:t xml:space="preserve">33 </w:t>
      </w:r>
      <w:r>
        <w:rPr>
          <w:rStyle w:val="CharStyle15"/>
        </w:rPr>
        <w:t>Федерального закона, которые не предусмотрены в позиции каталога, при условии наличия в извещении об осуществлении закупки обоснования необходимости использования данных характеристик.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При этом, согласно пункту </w:t>
      </w:r>
      <w:r>
        <w:rPr>
          <w:rStyle w:val="CharStyle15"/>
          <w:lang w:val="en-US" w:eastAsia="en-US"/>
        </w:rPr>
        <w:t xml:space="preserve">7 </w:t>
      </w:r>
      <w:r>
        <w:rPr>
          <w:rStyle w:val="CharStyle15"/>
        </w:rPr>
        <w:t xml:space="preserve">Правил использования </w:t>
      </w:r>
      <w:r>
        <w:rPr>
          <w:rStyle w:val="CharStyle15"/>
          <w:lang w:val="en-US" w:eastAsia="en-US"/>
        </w:rPr>
        <w:t xml:space="preserve">№ 145 </w:t>
      </w:r>
      <w:r>
        <w:rPr>
          <w:rStyle w:val="CharStyle15"/>
        </w:rPr>
        <w:t xml:space="preserve">в случае планирования и осуществления закупки товара, работы, услуги, в отношении которых в КТРУ отсутствуют соответствующие позиции, заказчик осуществляет описание товара, работы, услуги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Объектом закупки является Облучатель верхнего расположения для фототерапии новорожденных, код позиции по КТРУ </w:t>
      </w:r>
      <w:r>
        <w:rPr>
          <w:rStyle w:val="CharStyle15"/>
          <w:lang w:val="en-US" w:eastAsia="en-US"/>
        </w:rPr>
        <w:t>26.60.13.180-00000021.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Справочная информация к данному коду КТРУ содержит следующие сведения: код НКМИ </w:t>
      </w:r>
      <w:r>
        <w:rPr>
          <w:rStyle w:val="CharStyle15"/>
          <w:lang w:val="en-US" w:eastAsia="en-US"/>
        </w:rPr>
        <w:t xml:space="preserve">172870: </w:t>
      </w:r>
      <w:r>
        <w:rPr>
          <w:rStyle w:val="CharStyle15"/>
        </w:rPr>
        <w:t xml:space="preserve">Облучатель верхнего расположения для фототерапии новорожденных. Устройство, предназначенное для излучения голубого цвета видимой длины волны около </w:t>
      </w:r>
      <w:r>
        <w:rPr>
          <w:rStyle w:val="CharStyle15"/>
          <w:lang w:val="en-US" w:eastAsia="en-US"/>
        </w:rPr>
        <w:t xml:space="preserve">425-475 </w:t>
      </w:r>
      <w:r>
        <w:rPr>
          <w:rStyle w:val="CharStyle15"/>
        </w:rPr>
        <w:t>нанометров (нм) для лечения неонатальной желтухи (или гипербилирубинемии). Оно состоит из подвесного светильника, состоящего из нескольких ламп (дневного света, мягкого белого света, голубого света или специального голубого флуоресцентного цвета) и плексигласовый экран, помещенный между фототерапевтическими источниками света и новорожденным для фильтрации УФ-излучения. Воздействие этого устройства изменит билирубин посредством фотоокисления и конфигурационной и структурной изомеризации, что позволяет телу функционировать таким образом, чтобы избавиться от него естественным путем.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Описания товара по данному коду КТРУ отсутствует.</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этой связи, Заказчиком описание товара осуществлено в соответствии с положениями 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 в описании объекта закупки размещена потребность в товаре с требуемыми Заказчику характеристиками.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Заявителем доказательства объективного отсутствия у Заказчика потребности в приобретении товара с указанными в техническом задании характеристиками, ни в составе жалобы, ни на заседании Комиссии не представлены.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Вместе с тем, Комиссия отмечает, что в силу положений законодательства о контрактной системе, бремя доказывания доводов жалобы лежит на Заявителе.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Заявителем не оспаривается, что описание объекта закупки соответствует товарам двух различных производителей, зарегистрированных в Реестре медицинских изделий Росздравнадзора: </w:t>
      </w:r>
      <w:r>
        <w:rPr>
          <w:rStyle w:val="CharStyle15"/>
          <w:lang w:val="en-US" w:eastAsia="en-US"/>
        </w:rPr>
        <w:t xml:space="preserve">Obloo 360 </w:t>
      </w:r>
      <w:r>
        <w:rPr>
          <w:rStyle w:val="CharStyle15"/>
        </w:rPr>
        <w:t xml:space="preserve">с принадлежностями ФСЗ </w:t>
      </w:r>
      <w:r>
        <w:rPr>
          <w:rStyle w:val="CharStyle15"/>
          <w:lang w:val="en-US" w:eastAsia="en-US"/>
        </w:rPr>
        <w:t xml:space="preserve">2009/05741 </w:t>
      </w:r>
      <w:r>
        <w:rPr>
          <w:rStyle w:val="CharStyle15"/>
        </w:rPr>
        <w:t xml:space="preserve">МЕДИПРЕМА САС </w:t>
      </w:r>
      <w:r>
        <w:rPr>
          <w:rStyle w:val="CharStyle15"/>
          <w:lang w:val="en-US" w:eastAsia="en-US"/>
        </w:rPr>
        <w:t xml:space="preserve">(MEDIPREMA SAS) </w:t>
      </w:r>
      <w:r>
        <w:rPr>
          <w:rStyle w:val="CharStyle15"/>
        </w:rPr>
        <w:t xml:space="preserve">Франция и Облучатель фототерапевтический неонатальный </w:t>
      </w:r>
      <w:r>
        <w:rPr>
          <w:rStyle w:val="CharStyle15"/>
          <w:lang w:val="en-US" w:eastAsia="en-US"/>
        </w:rPr>
        <w:t xml:space="preserve">DIXION XHZ-200 </w:t>
      </w:r>
      <w:r>
        <w:rPr>
          <w:rStyle w:val="CharStyle15"/>
        </w:rPr>
        <w:t xml:space="preserve">РЗН </w:t>
      </w:r>
      <w:r>
        <w:rPr>
          <w:rStyle w:val="CharStyle15"/>
          <w:lang w:val="en-US" w:eastAsia="en-US"/>
        </w:rPr>
        <w:t xml:space="preserve">2024/22582 </w:t>
      </w:r>
      <w:r>
        <w:rPr>
          <w:rStyle w:val="CharStyle15"/>
        </w:rPr>
        <w:t xml:space="preserve">Нинбо Дэвид Медикал Девайс Ко., Лтд. </w:t>
      </w:r>
      <w:r>
        <w:rPr>
          <w:rStyle w:val="CharStyle15"/>
          <w:lang w:val="en-US" w:eastAsia="en-US"/>
        </w:rPr>
        <w:t xml:space="preserve">(Ningbo David Medical Device Co., Ltd.) </w:t>
      </w:r>
      <w:r>
        <w:rPr>
          <w:rStyle w:val="CharStyle15"/>
        </w:rPr>
        <w:t>Китай.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Заявителем в качестве доказательства прекращения производства аппарата </w:t>
      </w:r>
      <w:r>
        <w:rPr>
          <w:rStyle w:val="CharStyle15"/>
          <w:lang w:val="en-US" w:eastAsia="en-US"/>
        </w:rPr>
        <w:t xml:space="preserve">Obloo 360 </w:t>
      </w:r>
      <w:r>
        <w:rPr>
          <w:rStyle w:val="CharStyle15"/>
        </w:rPr>
        <w:t xml:space="preserve">представлен перевод электронной переписки. Из электронного письма, адресованного заявителю абонентом с именем Кристин Беду, именуемым в подписи как ассистент по экспортным продажам и административной работе, направленного с электронного адреса </w:t>
      </w:r>
      <w:r>
        <w:fldChar w:fldCharType="begin"/>
      </w:r>
      <w:r>
        <w:rPr/>
        <w:instrText> HYPERLINK "mailto:Christine_bedu@mediprema.com" </w:instrText>
      </w:r>
      <w:r>
        <w:fldChar w:fldCharType="separate"/>
      </w:r>
      <w:r>
        <w:rPr>
          <w:rStyle w:val="CharStyle15"/>
          <w:lang w:val="en-US" w:eastAsia="en-US"/>
        </w:rPr>
        <w:t>Christine_bedu@mediprema.com</w:t>
      </w:r>
      <w:r>
        <w:fldChar w:fldCharType="end"/>
      </w:r>
      <w:r>
        <w:rPr>
          <w:rStyle w:val="CharStyle15"/>
          <w:lang w:val="en-US" w:eastAsia="en-US"/>
        </w:rPr>
        <w:t xml:space="preserve">, </w:t>
      </w:r>
      <w:r>
        <w:rPr>
          <w:rStyle w:val="CharStyle15"/>
        </w:rPr>
        <w:t xml:space="preserve">следует: «Мы продаем только версию </w:t>
      </w:r>
      <w:r>
        <w:rPr>
          <w:rStyle w:val="CharStyle15"/>
          <w:lang w:val="en-US" w:eastAsia="en-US"/>
        </w:rPr>
        <w:t xml:space="preserve">Obloo Led, </w:t>
      </w:r>
      <w:r>
        <w:rPr>
          <w:rStyle w:val="CharStyle15"/>
        </w:rPr>
        <w:t>мы по-прежнему продаем запасные части для ламповой технологии, однако, в связи с международной обстановкой, больше не осуществляем поставки в Россию».</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 данному письму, как доказательству снятия с производства аппарата серии </w:t>
      </w:r>
      <w:r>
        <w:rPr>
          <w:rStyle w:val="CharStyle15"/>
          <w:lang w:val="en-US" w:eastAsia="en-US"/>
        </w:rPr>
        <w:t xml:space="preserve">Obloo 360 </w:t>
      </w:r>
      <w:r>
        <w:rPr>
          <w:rStyle w:val="CharStyle15"/>
        </w:rPr>
        <w:t xml:space="preserve">компанией МЕДИПРЕМА САС </w:t>
      </w:r>
      <w:r>
        <w:rPr>
          <w:rStyle w:val="CharStyle15"/>
          <w:lang w:val="en-US" w:eastAsia="en-US"/>
        </w:rPr>
        <w:t xml:space="preserve">(MEDIPREMA SAS) </w:t>
      </w:r>
      <w:r>
        <w:rPr>
          <w:rStyle w:val="CharStyle15"/>
        </w:rPr>
        <w:t xml:space="preserve">Франция антимонопольный орган относится критически, поскольку Заявителем не представлены доказательства наличия полномочий по предоставлению информации об аппарате </w:t>
      </w:r>
      <w:r>
        <w:rPr>
          <w:rStyle w:val="CharStyle15"/>
          <w:lang w:val="en-US" w:eastAsia="en-US"/>
        </w:rPr>
        <w:t xml:space="preserve">Obloo 360, </w:t>
      </w:r>
      <w:r>
        <w:rPr>
          <w:rStyle w:val="CharStyle15"/>
        </w:rPr>
        <w:t xml:space="preserve">в том числе, прекращении производства данного аппарата, от имени производителя </w:t>
      </w:r>
      <w:r>
        <w:rPr>
          <w:rStyle w:val="CharStyle15"/>
          <w:lang w:val="en-US" w:eastAsia="en-US"/>
        </w:rPr>
        <w:t xml:space="preserve">- </w:t>
      </w:r>
      <w:r>
        <w:rPr>
          <w:rStyle w:val="CharStyle15"/>
        </w:rPr>
        <w:t xml:space="preserve">МЕДИПРЕМА САС </w:t>
      </w:r>
      <w:r>
        <w:rPr>
          <w:rStyle w:val="CharStyle15"/>
          <w:lang w:val="en-US" w:eastAsia="en-US"/>
        </w:rPr>
        <w:t xml:space="preserve">(MEDIPREMA SAS) </w:t>
      </w:r>
      <w:r>
        <w:rPr>
          <w:rStyle w:val="CharStyle15"/>
        </w:rPr>
        <w:t>Франция у лица, от которого Заявителем получено указанное электронное письмо.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Иные доказательства прекращения производства данного аппарата производителем, позволяющие установить достоверность данной информации, Заявителем ни в составе жалобы, ни на заседании Комиссии не представлены.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отмечает, что описание объекта закупки не содержит требований к виду ламп. Заявителем доказательства обратного в материалы дела не представлены.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правовой позиции, изложенной в Постановлении Президиума Высшего Арбитражного суда Российской Федерации от </w:t>
      </w:r>
      <w:r>
        <w:rPr>
          <w:rStyle w:val="CharStyle15"/>
          <w:lang w:val="en-US" w:eastAsia="en-US"/>
        </w:rPr>
        <w:t xml:space="preserve">28.12.2010 № 11017/10 </w:t>
      </w:r>
      <w:r>
        <w:rPr>
          <w:rStyle w:val="CharStyle15"/>
        </w:rPr>
        <w:t xml:space="preserve">по делу </w:t>
      </w:r>
      <w:r>
        <w:rPr>
          <w:rStyle w:val="CharStyle15"/>
          <w:lang w:val="en-US" w:eastAsia="en-US"/>
        </w:rPr>
        <w:t xml:space="preserve">№ </w:t>
      </w:r>
      <w:r>
        <w:rPr>
          <w:rStyle w:val="CharStyle15"/>
        </w:rPr>
        <w:t>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заказчик вправе в необходимой степени детализировать объект закупки; включение в документацию о торгах</w:t>
      </w:r>
    </w:p>
    <w:p>
      <w:pPr>
        <w:pStyle w:val="Style14"/>
        <w:keepNext w:val="0"/>
        <w:keepLines w:val="0"/>
        <w:widowControl w:val="0"/>
        <w:shd w:val="clear" w:color="auto" w:fill="auto"/>
        <w:bidi w:val="0"/>
        <w:spacing w:before="0" w:after="0" w:line="240" w:lineRule="auto"/>
        <w:ind w:left="0" w:right="0" w:firstLine="0"/>
        <w:jc w:val="both"/>
      </w:pPr>
      <w:r>
        <w:rPr>
          <w:rStyle w:val="CharStyle15"/>
        </w:rPr>
        <w:t>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законодательство о контрактной системе допускает самостоятельное формирование заказчиком своей закупки, исходя из потребностей, и при описании товара заказчик вправе указывать характеристики товара, требования к объекту закупок, которые являются определяющими для него, он не лишен возможности более точно и четко указывать требования к закупаемому товару.</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правовой позицией Верховного суда Российской Федерации, изложенной в пункте </w:t>
      </w:r>
      <w:r>
        <w:rPr>
          <w:rStyle w:val="CharStyle15"/>
          <w:lang w:val="en-US" w:eastAsia="en-US"/>
        </w:rPr>
        <w:t xml:space="preserve">1 </w:t>
      </w:r>
      <w:r>
        <w:rPr>
          <w:rStyle w:val="CharStyle15"/>
        </w:rPr>
        <w:t>Обзора, указание заказчиком в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заказчик при формировании технического задания вправе в необходимой степени детализировать объект закупки, определяя характеристики закупаемого товара, которые будут иметь существенное значение для последующего использования товара в специфике его деятельности и в целях обеспечения эффективного использования бюджетных средств.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наличии действительной потребности лечебного учреждения в приобретении товара с определенными характеристиками, приведенные доводы являются субъективным мнением поставщика медицинских изделий о возможной потребности заказчика, сформированным без учета особенностей деятельности медицинской организации, и в отсутствие у поставщика объективной информации о реальной потребности заказчика в медицинских изделиях.</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соответствии с действующим законодательством о закупках участниками закупок могут выступать любые юридические или физические лица, а также индивидуальные предприниматели, имеющие возможность поставить товар, отвечающий требованиям документации об аукционе и удовлетворяющий потребностям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Действующим законодательством, также как и извещением об осуществлении закупки, в отношении медицинских изделий не налагаются ограничения на поставку товаров лицами, не являющимися производителями.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Отсутствие у каких-либо лиц, заинтересованных в заключении контракта, возможности поставить товар, соответствующий потребностям заказчика, само по себе не свидетельствует о нарушении заказчиком прав этих лиц, а также об ограничении заказчиком числа участников закупки.</w:t>
      </w:r>
    </w:p>
    <w:p>
      <w:pPr>
        <w:pStyle w:val="Style14"/>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261" w:right="540" w:bottom="1173" w:left="1098" w:header="0" w:footer="3" w:gutter="0"/>
          <w:cols w:space="720"/>
          <w:noEndnote/>
          <w:rtlGutter w:val="0"/>
          <w:docGrid w:linePitch="360"/>
        </w:sectPr>
      </w:pPr>
      <w:r>
        <w:rPr>
          <w:rStyle w:val="CharStyle15"/>
        </w:rPr>
        <w:t xml:space="preserve">При этом, как следует из пояснений, товар с требуемыми Заказчику характеристиками производителя МЕДИПРЕМА САС </w:t>
      </w:r>
      <w:r>
        <w:rPr>
          <w:rStyle w:val="CharStyle15"/>
          <w:lang w:val="en-US" w:eastAsia="en-US"/>
        </w:rPr>
        <w:t xml:space="preserve">(MEDIPREMA SAS) </w:t>
      </w:r>
      <w:r>
        <w:rPr>
          <w:rStyle w:val="CharStyle15"/>
        </w:rPr>
        <w:t xml:space="preserve">Франция присутствует на российском рынке медицинского оборудования в свободной продаже, о чем свидетельствует информация с сайта ООО «Тамань» (организации </w:t>
      </w:r>
      <w:r>
        <w:rPr>
          <w:rStyle w:val="CharStyle15"/>
          <w:lang w:val="en-US" w:eastAsia="en-US"/>
        </w:rPr>
        <w:t xml:space="preserve">- </w:t>
      </w:r>
      <w:r>
        <w:rPr>
          <w:rStyle w:val="CharStyle15"/>
        </w:rPr>
        <w:t>уполномоченного представителя производителя (изготовителя) медицинского изделия), а также информация, размещенная на сайтах хозяйствующих субъектов, имеющих обращение на данном товарном рынке, в информационно-</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коммуникационной сети «Интернет». Кроме того, Заказчиком предоставлены сведения о поставке аппарата </w:t>
      </w:r>
      <w:r>
        <w:rPr>
          <w:rStyle w:val="CharStyle15"/>
          <w:lang w:val="en-US" w:eastAsia="en-US"/>
        </w:rPr>
        <w:t xml:space="preserve">Obloo 360 </w:t>
      </w:r>
      <w:r>
        <w:rPr>
          <w:rStyle w:val="CharStyle15"/>
        </w:rPr>
        <w:t xml:space="preserve">после </w:t>
      </w:r>
      <w:r>
        <w:rPr>
          <w:rStyle w:val="CharStyle15"/>
          <w:lang w:val="en-US" w:eastAsia="en-US"/>
        </w:rPr>
        <w:t xml:space="preserve">2019 </w:t>
      </w:r>
      <w:r>
        <w:rPr>
          <w:rStyle w:val="CharStyle15"/>
        </w:rPr>
        <w:t xml:space="preserve">года (реестровый номер контракта </w:t>
      </w:r>
      <w:r>
        <w:rPr>
          <w:rStyle w:val="CharStyle15"/>
          <w:lang w:val="en-US" w:eastAsia="en-US"/>
        </w:rPr>
        <w:t xml:space="preserve">1773108297122000491). </w:t>
      </w:r>
      <w:r>
        <w:rPr>
          <w:rStyle w:val="CharStyle15"/>
        </w:rPr>
        <w:t>Заявитель доказательств обратного не представил.</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 учетом изложенного, Комиссия не усматривает нарушений законодательства о контрактной системе при формировании объекта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Доводы жалобы Заявителя не находят своего подтверждения, не доказаны.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Вместе с тем, Комиссия считает целесообразным направить жалобу Заявителя в части доводов, касающихся формирования НМЦК, в орган внутреннего государственного финансового контроля, в силу положений пункта </w:t>
      </w:r>
      <w:r>
        <w:rPr>
          <w:rStyle w:val="CharStyle15"/>
          <w:lang w:val="en-US" w:eastAsia="en-US"/>
        </w:rPr>
        <w:t xml:space="preserve">3 </w:t>
      </w:r>
      <w:r>
        <w:rPr>
          <w:rStyle w:val="CharStyle15"/>
        </w:rPr>
        <w:t xml:space="preserve">части </w:t>
      </w:r>
      <w:r>
        <w:rPr>
          <w:rStyle w:val="CharStyle15"/>
          <w:lang w:val="en-US" w:eastAsia="en-US"/>
        </w:rPr>
        <w:t xml:space="preserve">8 </w:t>
      </w:r>
      <w:r>
        <w:rPr>
          <w:rStyle w:val="CharStyle15"/>
        </w:rPr>
        <w:t xml:space="preserve">статьи </w:t>
      </w:r>
      <w:r>
        <w:rPr>
          <w:rStyle w:val="CharStyle15"/>
          <w:lang w:val="en-US" w:eastAsia="en-US"/>
        </w:rPr>
        <w:t xml:space="preserve">99 </w:t>
      </w:r>
      <w:r>
        <w:rPr>
          <w:rStyle w:val="CharStyle15"/>
        </w:rPr>
        <w:t>Закона о контрактной системе осуществляющего, в том числе, контроль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4"/>
        <w:keepNext w:val="0"/>
        <w:keepLines w:val="0"/>
        <w:widowControl w:val="0"/>
        <w:shd w:val="clear" w:color="auto" w:fill="auto"/>
        <w:bidi w:val="0"/>
        <w:spacing w:before="0" w:after="100" w:line="240" w:lineRule="auto"/>
        <w:ind w:left="0" w:right="0" w:firstLine="580"/>
        <w:jc w:val="both"/>
      </w:pPr>
      <w:r>
        <w:rPr>
          <w:rStyle w:val="CharStyle15"/>
        </w:rPr>
        <w:t xml:space="preserve">Руководствуясь статьей </w:t>
      </w:r>
      <w:r>
        <w:rPr>
          <w:rStyle w:val="CharStyle15"/>
          <w:lang w:val="en-US" w:eastAsia="en-US"/>
        </w:rPr>
        <w:t xml:space="preserve">99, </w:t>
      </w:r>
      <w:r>
        <w:rPr>
          <w:rStyle w:val="CharStyle15"/>
        </w:rPr>
        <w:t xml:space="preserve">статьей </w:t>
      </w:r>
      <w:r>
        <w:rPr>
          <w:rStyle w:val="CharStyle15"/>
          <w:lang w:val="en-US" w:eastAsia="en-US"/>
        </w:rPr>
        <w:t xml:space="preserve">106 </w:t>
      </w:r>
      <w:r>
        <w:rPr>
          <w:rStyle w:val="CharStyle15"/>
        </w:rPr>
        <w:t>Закона о контрактной системе, Комиссия Липецкого УФАС России</w:t>
      </w:r>
    </w:p>
    <w:p>
      <w:pPr>
        <w:pStyle w:val="Style14"/>
        <w:keepNext w:val="0"/>
        <w:keepLines w:val="0"/>
        <w:widowControl w:val="0"/>
        <w:shd w:val="clear" w:color="auto" w:fill="auto"/>
        <w:bidi w:val="0"/>
        <w:spacing w:before="0" w:after="100" w:line="240" w:lineRule="auto"/>
        <w:ind w:left="0" w:right="0" w:firstLine="0"/>
        <w:jc w:val="center"/>
      </w:pPr>
      <w:r>
        <w:rPr>
          <w:rStyle w:val="CharStyle15"/>
        </w:rPr>
        <w:t>Р Е Ш И Л А:</w:t>
      </w:r>
    </w:p>
    <w:p>
      <w:pPr>
        <w:pStyle w:val="Style14"/>
        <w:keepNext w:val="0"/>
        <w:keepLines w:val="0"/>
        <w:widowControl w:val="0"/>
        <w:numPr>
          <w:ilvl w:val="0"/>
          <w:numId w:val="3"/>
        </w:numPr>
        <w:shd w:val="clear" w:color="auto" w:fill="auto"/>
        <w:tabs>
          <w:tab w:pos="957" w:val="left"/>
        </w:tabs>
        <w:bidi w:val="0"/>
        <w:spacing w:before="0" w:after="0" w:line="240" w:lineRule="auto"/>
        <w:ind w:left="0" w:right="0" w:firstLine="580"/>
        <w:jc w:val="both"/>
      </w:pPr>
      <w:r>
        <w:rPr>
          <w:rStyle w:val="CharStyle15"/>
        </w:rPr>
        <w:t xml:space="preserve">Признать жалобу индивидуального предпринимателя Подоляцкого Николая Сергеевича на положения извещения о проведении электронного аукциона на поставку медицинского изделия устройства для фототерапии новорожденных (облучатель верхнего расположения для фототерапии новорожденных),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w:t>
      </w:r>
      <w:r>
        <w:rPr>
          <w:rStyle w:val="CharStyle15"/>
          <w:lang w:val="en-US" w:eastAsia="en-US"/>
        </w:rPr>
        <w:t xml:space="preserve">0346200005426000098) </w:t>
      </w:r>
      <w:r>
        <w:rPr>
          <w:rStyle w:val="CharStyle15"/>
        </w:rPr>
        <w:t>необоснованной.</w:t>
      </w:r>
    </w:p>
    <w:p>
      <w:pPr>
        <w:pStyle w:val="Style14"/>
        <w:keepNext w:val="0"/>
        <w:keepLines w:val="0"/>
        <w:widowControl w:val="0"/>
        <w:numPr>
          <w:ilvl w:val="0"/>
          <w:numId w:val="3"/>
        </w:numPr>
        <w:shd w:val="clear" w:color="auto" w:fill="auto"/>
        <w:tabs>
          <w:tab w:pos="952" w:val="left"/>
        </w:tabs>
        <w:bidi w:val="0"/>
        <w:spacing w:before="0" w:after="0" w:line="240" w:lineRule="auto"/>
        <w:ind w:left="0" w:right="0" w:firstLine="580"/>
        <w:jc w:val="both"/>
      </w:pPr>
      <w:r>
        <w:rPr>
          <w:rStyle w:val="CharStyle15"/>
        </w:rPr>
        <w:t>Передать жалобу заявителя в части довода, касающегося обоснования начальной (максимальной) цены контракта, в орган государственного финансового контроля Липецкой области.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pgSz w:w="11900" w:h="16840"/>
          <w:pgMar w:top="1105" w:right="546" w:bottom="358" w:left="1106" w:header="0" w:footer="3" w:gutter="0"/>
          <w:cols w:space="720"/>
          <w:noEndnote/>
          <w:rtlGutter w:val="0"/>
          <w:docGrid w:linePitch="360"/>
        </w:sectPr>
      </w:pPr>
      <w:r>
        <mc:AlternateContent>
          <mc:Choice Requires="wps">
            <w:drawing>
              <wp:anchor distT="88900" distB="341630" distL="0" distR="0" simplePos="0" relativeHeight="125829380" behindDoc="0" locked="0" layoutInCell="1" allowOverlap="1">
                <wp:simplePos x="0" y="0"/>
                <wp:positionH relativeFrom="page">
                  <wp:posOffset>739140</wp:posOffset>
                </wp:positionH>
                <wp:positionV relativeFrom="paragraph">
                  <wp:posOffset>88900</wp:posOffset>
                </wp:positionV>
                <wp:extent cx="1856105" cy="252730"/>
                <wp:wrapTopAndBottom/>
                <wp:docPr id="10" name="Shape 10"/>
                <a:graphic xmlns:a="http://schemas.openxmlformats.org/drawingml/2006/main">
                  <a:graphicData uri="http://schemas.microsoft.com/office/word/2010/wordprocessingShape">
                    <wps:wsp>
                      <wps:cNvSpPr txBox="1"/>
                      <wps:spPr>
                        <a:xfrm>
                          <a:ext cx="185610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200000000000003pt;margin-top:7.pt;width:146.15000000000001pt;height:19.900000000000002pt;z-index:-125829373;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158750" distB="0" distL="0" distR="1786255" simplePos="0" relativeHeight="125829382" behindDoc="0" locked="0" layoutInCell="1" allowOverlap="1">
            <wp:simplePos x="0" y="0"/>
            <wp:positionH relativeFrom="page">
              <wp:posOffset>2653030</wp:posOffset>
            </wp:positionH>
            <wp:positionV relativeFrom="paragraph">
              <wp:posOffset>158750</wp:posOffset>
            </wp:positionV>
            <wp:extent cx="359410" cy="52451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3113405</wp:posOffset>
                </wp:positionH>
                <wp:positionV relativeFrom="paragraph">
                  <wp:posOffset>567055</wp:posOffset>
                </wp:positionV>
                <wp:extent cx="1283335" cy="100330"/>
                <wp:wrapNone/>
                <wp:docPr id="14" name="Shape 1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5.15000000000001pt;margin-top:44.649999999999999pt;width:101.05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250190</wp:posOffset>
                </wp:positionV>
                <wp:extent cx="1722120" cy="259080"/>
                <wp:wrapNone/>
                <wp:docPr id="16" name="Shape 1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42.pt;margin-top:19.699999999999999pt;width:135.59999999999999pt;height:20.40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83" behindDoc="0" locked="0" layoutInCell="1" allowOverlap="1">
                <wp:simplePos x="0" y="0"/>
                <wp:positionH relativeFrom="page">
                  <wp:posOffset>6127750</wp:posOffset>
                </wp:positionH>
                <wp:positionV relativeFrom="paragraph">
                  <wp:posOffset>88900</wp:posOffset>
                </wp:positionV>
                <wp:extent cx="1060450" cy="252730"/>
                <wp:wrapTopAndBottom/>
                <wp:docPr id="18" name="Shape 18"/>
                <a:graphic xmlns:a="http://schemas.openxmlformats.org/drawingml/2006/main">
                  <a:graphicData uri="http://schemas.microsoft.com/office/word/2010/wordprocessingShape">
                    <wps:wsp>
                      <wps:cNvSpPr txBox="1"/>
                      <wps:spPr>
                        <a:xfrm>
                          <a:ext cx="106045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И.В. Поткина</w:t>
                            </w:r>
                          </w:p>
                        </w:txbxContent>
                      </wps:txbx>
                      <wps:bodyPr wrap="none" lIns="0" tIns="0" rIns="0" bIns="0">
                        <a:noAutoFit/>
                      </wps:bodyPr>
                    </wps:wsp>
                  </a:graphicData>
                </a:graphic>
              </wp:anchor>
            </w:drawing>
          </mc:Choice>
          <mc:Fallback>
            <w:pict>
              <v:shape id="_x0000_s1044" type="#_x0000_t202" style="position:absolute;margin-left:482.5pt;margin-top:7.pt;width:83.5pt;height:19.900000000000002pt;z-index:-125829370;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И.В. Поткина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rStyle w:val="CharStyle23"/>
        </w:rPr>
        <w:t xml:space="preserve">Кому выдан: </w:t>
      </w:r>
      <w:r>
        <w:rPr>
          <w:rStyle w:val="CharStyle23"/>
          <w:color w:val="000000"/>
          <w:sz w:val="11"/>
          <w:szCs w:val="11"/>
        </w:rPr>
        <w:t>Поткина Ирина Владимировна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34BC6067F93C2077028AB856911D8A49</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Действителен с 29.04.2025 </w:t>
      </w:r>
      <w:r>
        <w:rPr>
          <w:rStyle w:val="CharStyle23"/>
          <w:color w:val="555555"/>
        </w:rPr>
        <w:t xml:space="preserve">по </w:t>
      </w:r>
      <w:r>
        <w:rPr>
          <w:rStyle w:val="CharStyle23"/>
        </w:rPr>
        <w:t>23.07.2026</w:t>
      </w:r>
    </w:p>
    <w:p>
      <w:pPr>
        <w:widowControl w:val="0"/>
        <w:spacing w:line="1" w:lineRule="exact"/>
        <w:sectPr>
          <w:footnotePr>
            <w:pos w:val="pageBottom"/>
            <w:numFmt w:val="decimal"/>
            <w:numRestart w:val="continuous"/>
          </w:footnotePr>
          <w:type w:val="continuous"/>
          <w:pgSz w:w="11900" w:h="16840"/>
          <w:pgMar w:top="1105" w:right="546" w:bottom="358" w:left="1106" w:header="0" w:footer="3" w:gutter="0"/>
          <w:cols w:space="720"/>
          <w:noEndnote/>
          <w:rtlGutter w:val="0"/>
          <w:docGrid w:linePitch="360"/>
        </w:sectPr>
      </w:pPr>
      <w:r>
        <mc:AlternateContent>
          <mc:Choice Requires="wps">
            <w:drawing>
              <wp:anchor distT="88900" distB="341630" distL="0" distR="0" simplePos="0" relativeHeight="125829385" behindDoc="0" locked="0" layoutInCell="1" allowOverlap="1">
                <wp:simplePos x="0" y="0"/>
                <wp:positionH relativeFrom="page">
                  <wp:posOffset>735965</wp:posOffset>
                </wp:positionH>
                <wp:positionV relativeFrom="paragraph">
                  <wp:posOffset>88900</wp:posOffset>
                </wp:positionV>
                <wp:extent cx="1359535" cy="252730"/>
                <wp:wrapTopAndBottom/>
                <wp:docPr id="20" name="Shape 20"/>
                <a:graphic xmlns:a="http://schemas.openxmlformats.org/drawingml/2006/main">
                  <a:graphicData uri="http://schemas.microsoft.com/office/word/2010/wordprocessingShape">
                    <wps:wsp>
                      <wps:cNvSpPr txBox="1"/>
                      <wps:spPr>
                        <a:xfrm>
                          <a:ext cx="135953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6" type="#_x0000_t202" style="position:absolute;margin-left:57.950000000000003pt;margin-top:7.pt;width:107.05pt;height:19.900000000000002pt;z-index:-125829368;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28270" distB="0" distL="0" distR="1786255" simplePos="0" relativeHeight="125829387" behindDoc="0" locked="0" layoutInCell="1" allowOverlap="1">
            <wp:simplePos x="0" y="0"/>
            <wp:positionH relativeFrom="page">
              <wp:posOffset>2622550</wp:posOffset>
            </wp:positionH>
            <wp:positionV relativeFrom="paragraph">
              <wp:posOffset>128270</wp:posOffset>
            </wp:positionV>
            <wp:extent cx="389890" cy="55499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567055</wp:posOffset>
                </wp:positionV>
                <wp:extent cx="1283335" cy="100330"/>
                <wp:wrapNone/>
                <wp:docPr id="24" name="Shape 2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45.15000000000001pt;margin-top:44.649999999999999pt;width:101.05pt;height:7.90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250190</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42.pt;margin-top:19.699999999999999pt;width:135.59999999999999pt;height:20.40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88" behindDoc="0" locked="0" layoutInCell="1" allowOverlap="1">
                <wp:simplePos x="0" y="0"/>
                <wp:positionH relativeFrom="page">
                  <wp:posOffset>6057900</wp:posOffset>
                </wp:positionH>
                <wp:positionV relativeFrom="paragraph">
                  <wp:posOffset>88900</wp:posOffset>
                </wp:positionV>
                <wp:extent cx="1130935" cy="252730"/>
                <wp:wrapTopAndBottom/>
                <wp:docPr id="28" name="Shape 28"/>
                <a:graphic xmlns:a="http://schemas.openxmlformats.org/drawingml/2006/main">
                  <a:graphicData uri="http://schemas.microsoft.com/office/word/2010/wordprocessingShape">
                    <wps:wsp>
                      <wps:cNvSpPr txBox="1"/>
                      <wps:spPr>
                        <a:xfrm>
                          <a:ext cx="113093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В.И. Аникеева</w:t>
                            </w:r>
                          </w:p>
                        </w:txbxContent>
                      </wps:txbx>
                      <wps:bodyPr wrap="none" lIns="0" tIns="0" rIns="0" bIns="0">
                        <a:noAutoFit/>
                      </wps:bodyPr>
                    </wps:wsp>
                  </a:graphicData>
                </a:graphic>
              </wp:anchor>
            </w:drawing>
          </mc:Choice>
          <mc:Fallback>
            <w:pict>
              <v:shape id="_x0000_s1054" type="#_x0000_t202" style="position:absolute;margin-left:477.pt;margin-top:7.pt;width:89.049999999999997pt;height:19.900000000000002pt;z-index:-125829365;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В.И. Аникеева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rStyle w:val="CharStyle23"/>
        </w:rPr>
        <w:t xml:space="preserve">Кому выдан: </w:t>
      </w:r>
      <w:r>
        <w:rPr>
          <w:rStyle w:val="CharStyle23"/>
          <w:color w:val="000000"/>
          <w:sz w:val="11"/>
          <w:szCs w:val="11"/>
        </w:rPr>
        <w:t>Аникеева Вера Ивановна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5FA9E6CB20BCA8AE45AFB646B2A5B65D</w:t>
      </w:r>
    </w:p>
    <w:p>
      <w:pPr>
        <w:pStyle w:val="Style22"/>
        <w:keepNext w:val="0"/>
        <w:keepLines w:val="0"/>
        <w:widowControl w:val="0"/>
        <w:shd w:val="clear" w:color="auto" w:fill="auto"/>
        <w:bidi w:val="0"/>
        <w:spacing w:before="0" w:after="280" w:line="240" w:lineRule="auto"/>
        <w:ind w:right="0" w:firstLine="0"/>
        <w:jc w:val="left"/>
      </w:pPr>
      <w:r>
        <w:rPr>
          <w:rStyle w:val="CharStyle23"/>
        </w:rPr>
        <w:t xml:space="preserve">Действителен с 10.02.2026 </w:t>
      </w:r>
      <w:r>
        <w:rPr>
          <w:rStyle w:val="CharStyle23"/>
          <w:color w:val="555555"/>
        </w:rPr>
        <w:t xml:space="preserve">по </w:t>
      </w:r>
      <w:r>
        <w:rPr>
          <w:rStyle w:val="CharStyle23"/>
        </w:rPr>
        <w:t>06.05.2027</w:t>
      </w:r>
    </w:p>
    <w:p>
      <w:pPr>
        <w:pStyle w:val="Style14"/>
        <w:keepNext w:val="0"/>
        <w:keepLines w:val="0"/>
        <w:widowControl w:val="0"/>
        <w:shd w:val="clear" w:color="auto" w:fill="auto"/>
        <w:bidi w:val="0"/>
        <w:spacing w:before="0" w:after="390" w:line="240" w:lineRule="auto"/>
        <w:ind w:left="0" w:right="0" w:firstLine="0"/>
        <w:jc w:val="center"/>
      </w:pPr>
      <w:r>
        <w:drawing>
          <wp:anchor distT="0" distB="0" distL="114300" distR="1931035" simplePos="0" relativeHeight="125829390" behindDoc="0" locked="0" layoutInCell="1" allowOverlap="1">
            <wp:simplePos x="0" y="0"/>
            <wp:positionH relativeFrom="page">
              <wp:posOffset>2683510</wp:posOffset>
            </wp:positionH>
            <wp:positionV relativeFrom="paragraph">
              <wp:posOffset>88900</wp:posOffset>
            </wp:positionV>
            <wp:extent cx="298450" cy="347345"/>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149860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42.pt;margin-top:11.800000000000001pt;width:135.59999999999999pt;height:20.40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Ю.П. Хорина</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8"/>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rStyle w:val="CharStyle23"/>
        </w:rPr>
        <w:t xml:space="preserve">Кому </w:t>
      </w:r>
      <w:r>
        <w:rPr>
          <w:rStyle w:val="CharStyle23"/>
          <w:color w:val="555555"/>
        </w:rPr>
        <w:t xml:space="preserve">выдан: </w:t>
      </w:r>
      <w:r>
        <w:rPr>
          <w:rStyle w:val="CharStyle23"/>
          <w:color w:val="000000"/>
          <w:sz w:val="11"/>
          <w:szCs w:val="11"/>
        </w:rPr>
        <w:t>Хорина Юлия Петровна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00B6BA04CC4FD4D1E06E2AF82EBB5DD4</w:t>
      </w:r>
      <w:r>
        <w:rPr>
          <w:rStyle w:val="CharStyle23"/>
          <w:lang w:val="en-US" w:eastAsia="en-US"/>
        </w:rPr>
        <w:t>4</w:t>
      </w:r>
    </w:p>
    <w:p>
      <w:pPr>
        <w:pStyle w:val="Style22"/>
        <w:keepNext w:val="0"/>
        <w:keepLines w:val="0"/>
        <w:widowControl w:val="0"/>
        <w:shd w:val="clear" w:color="auto" w:fill="auto"/>
        <w:bidi w:val="0"/>
        <w:spacing w:before="0" w:after="60" w:line="240" w:lineRule="auto"/>
        <w:ind w:right="0" w:firstLine="0"/>
        <w:jc w:val="left"/>
      </w:pPr>
      <w:r>
        <w:rPr>
          <w:rStyle w:val="CharStyle23"/>
        </w:rPr>
        <w:t xml:space="preserve">Действителен с 10.02.2026 </w:t>
      </w:r>
      <w:r>
        <w:rPr>
          <w:rStyle w:val="CharStyle23"/>
          <w:color w:val="555555"/>
        </w:rPr>
        <w:t>по 06.05.2027</w:t>
      </w:r>
    </w:p>
    <w:sectPr>
      <w:footnotePr>
        <w:pos w:val="pageBottom"/>
        <w:numFmt w:val="decimal"/>
        <w:numRestart w:val="continuous"/>
      </w:footnotePr>
      <w:type w:val="continuous"/>
      <w:pgSz w:w="11900" w:h="16840"/>
      <w:pgMar w:top="1105" w:right="546" w:bottom="3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10012045</wp:posOffset>
              </wp:positionV>
              <wp:extent cx="618490" cy="125095"/>
              <wp:wrapNone/>
              <wp:docPr id="6" name="Shape 6"/>
              <a:graphic xmlns:a="http://schemas.openxmlformats.org/drawingml/2006/main">
                <a:graphicData uri="http://schemas.microsoft.com/office/word/2010/wordprocessingShape">
                  <wps:wsp>
                    <wps:cNvSpPr txBox="1"/>
                    <wps:spPr>
                      <a:xfrm>
                        <a:ext cx="61849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2026-4084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57.050000000000004pt;margin-top:788.35000000000002pt;width:48.700000000000003pt;height:9.84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2026-4084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18490" cy="125095"/>
              <wp:wrapNone/>
              <wp:docPr id="8" name="Shape 8"/>
              <a:graphic xmlns:a="http://schemas.openxmlformats.org/drawingml/2006/main">
                <a:graphicData uri="http://schemas.microsoft.com/office/word/2010/wordprocessingShape">
                  <wps:wsp>
                    <wps:cNvSpPr txBox="1"/>
                    <wps:spPr>
                      <a:xfrm>
                        <a:ext cx="61849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2026-4084</w:t>
                          </w:r>
                        </w:p>
                      </w:txbxContent>
                    </wps:txbx>
                    <wps:bodyPr wrap="none" lIns="0" tIns="0" rIns="0" bIns="0">
                      <a:spAutoFit/>
                    </wps:bodyPr>
                  </wps:wsp>
                </a:graphicData>
              </a:graphic>
            </wp:anchor>
          </w:drawing>
        </mc:Choice>
        <mc:Fallback>
          <w:pict>
            <v:shape id="_x0000_s1034" type="#_x0000_t202" style="position:absolute;margin-left:57.pt;margin-top:775.70000000000005pt;width:48.700000000000003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2026-4084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Heading #1_"/>
    <w:basedOn w:val="DefaultParagraphFont"/>
    <w:link w:val="Style17"/>
    <w:rPr>
      <w:rFonts w:ascii="Times New Roman" w:eastAsia="Times New Roman" w:hAnsi="Times New Roman" w:cs="Times New Roman"/>
      <w:b w:val="0"/>
      <w:bCs w:val="0"/>
      <w:i w:val="0"/>
      <w:iCs w:val="0"/>
      <w:smallCaps w:val="0"/>
      <w:strike w:val="0"/>
      <w:w w:val="50"/>
      <w:sz w:val="70"/>
      <w:szCs w:val="70"/>
      <w:u w:val="none"/>
      <w:lang w:val="en-US" w:eastAsia="en-US"/>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04040"/>
      <w:sz w:val="12"/>
      <w:szCs w:val="12"/>
      <w:u w:val="none"/>
    </w:rPr>
  </w:style>
  <w:style w:type="character" w:customStyle="1" w:styleId="CharStyle28">
    <w:name w:val="Body text (5)_"/>
    <w:basedOn w:val="DefaultParagraphFont"/>
    <w:link w:val="Style27"/>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42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Heading #1"/>
    <w:basedOn w:val="Normal"/>
    <w:link w:val="CharStyle18"/>
    <w:pPr>
      <w:widowControl w:val="0"/>
      <w:shd w:val="clear" w:color="auto" w:fill="auto"/>
      <w:spacing w:after="60"/>
      <w:outlineLvl w:val="0"/>
    </w:pPr>
    <w:rPr>
      <w:rFonts w:ascii="Times New Roman" w:eastAsia="Times New Roman" w:hAnsi="Times New Roman" w:cs="Times New Roman"/>
      <w:b w:val="0"/>
      <w:bCs w:val="0"/>
      <w:i w:val="0"/>
      <w:iCs w:val="0"/>
      <w:smallCaps w:val="0"/>
      <w:strike w:val="0"/>
      <w:w w:val="50"/>
      <w:sz w:val="70"/>
      <w:szCs w:val="70"/>
      <w:u w:val="none"/>
      <w:lang w:val="en-US" w:eastAsia="en-US"/>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2)"/>
    <w:basedOn w:val="Normal"/>
    <w:link w:val="CharStyle23"/>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27">
    <w:name w:val="Body text (5)"/>
    <w:basedOn w:val="Normal"/>
    <w:link w:val="CharStyle28"/>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s>
</file>