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Мурманской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3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"mailto:to51@fas.gov.ru" </w:instrText>
      </w:r>
      <w:r>
        <w:fldChar w:fldCharType="separate"/>
      </w:r>
      <w:r>
        <w:rPr>
          <w:rStyle w:val="CharStyle3"/>
          <w:lang w:val="en-US" w:eastAsia="en-US"/>
        </w:rPr>
        <w:t>to51@fas.gov.ru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9.05.2026</w:t>
        <w:tab/>
      </w:r>
      <w:r>
        <w:fldChar w:fldCharType="end"/>
      </w:r>
      <w:r>
        <w:rPr>
          <w:rStyle w:val="CharStyle11"/>
        </w:rPr>
        <w:t>№ МГ/2281/26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 xml:space="preserve">ГОБУЗ МОКБ им. П.А. Баяндина </w:t>
      </w:r>
      <w:r>
        <w:fldChar w:fldCharType="begin"/>
      </w:r>
      <w:r>
        <w:rPr/>
        <w:instrText> HYPERLINK "mailto:mokb_kk@bk.ru" </w:instrText>
      </w:r>
      <w:r>
        <w:fldChar w:fldCharType="separate"/>
      </w:r>
      <w:r>
        <w:rPr>
          <w:rStyle w:val="CharStyle14"/>
          <w:lang w:val="en-US" w:eastAsia="en-US"/>
        </w:rPr>
        <w:t>mokb_kk@bk.ru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fldChar w:fldCharType="begin"/>
      </w:r>
      <w:r>
        <w:rPr/>
        <w:instrText> HYPERLINK "mailto:info@mokb51.ru" </w:instrText>
      </w:r>
      <w:r>
        <w:fldChar w:fldCharType="separate"/>
      </w:r>
      <w:r>
        <w:rPr>
          <w:rStyle w:val="CharStyle14"/>
          <w:lang w:val="en-US" w:eastAsia="en-US"/>
        </w:rPr>
        <w:t>info@mokb51.ru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Комитет по конкурентной политике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</w:rPr>
        <w:t xml:space="preserve">Мурманской области </w:t>
      </w:r>
      <w:r>
        <w:fldChar w:fldCharType="begin"/>
      </w:r>
      <w:r>
        <w:rPr/>
        <w:instrText> HYPERLINK "mailto:goszakaz@gov-murman.ru" </w:instrText>
      </w:r>
      <w:r>
        <w:fldChar w:fldCharType="separate"/>
      </w:r>
      <w:r>
        <w:rPr>
          <w:rStyle w:val="CharStyle14"/>
          <w:lang w:val="en-US" w:eastAsia="en-US"/>
        </w:rPr>
        <w:t>goszakaz@gov-murman.ru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2076" w:bottom="1029" w:left="1135" w:header="0" w:footer="3" w:gutter="0"/>
          <w:pgNumType w:start="1"/>
          <w:cols w:num="2" w:space="720" w:equalWidth="0">
            <w:col w:w="4238" w:space="749"/>
            <w:col w:w="3701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ИП Кравченко А.В. </w:t>
      </w: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4"/>
          <w:lang w:val="en-US" w:eastAsia="en-US"/>
        </w:rPr>
        <w:t>info@gosfarm.ru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7" w:right="0" w:bottom="14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  <w:b/>
          <w:bCs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4"/>
          <w:b/>
          <w:bCs/>
        </w:rPr>
        <w:t>по делу № 051/06/105-423/2026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Резолютивная часть оглашена 14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897" w:val="left"/>
        </w:tabs>
        <w:bidi w:val="0"/>
        <w:spacing w:before="0" w:after="280"/>
        <w:ind w:left="0" w:right="0" w:firstLine="740"/>
        <w:jc w:val="both"/>
      </w:pPr>
      <w:r>
        <w:rPr>
          <w:rStyle w:val="CharStyle14"/>
        </w:rPr>
        <w:t>Решение в полном объеме изготовлено 19 мая 2026 года</w:t>
        <w:tab/>
        <w:t>г. Мурманск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Председателя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Прохоровой М.Е. – заместителя руководителя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Членов Комиссии Мурманского УФАС России: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Конох А.А. – ведущего специалиста-эксперта отдела контроля торгов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Цветкова А.С. – специалист 1 разряда отдела контроля торгов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при участии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Филиала Государственного областного бюджетного учреждения здравоохранения «Мурманская областная клиническая больница имени П.А. Баяндина» г. Североморск – Руликовской Е.Ф. (на основании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Комитета по конкурентной политике Мурманской области – Гусевой К.Е. (на основании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Без участия индивидуального предпринимателя Кравченко А.В., должным образом уведомленного о времени и месте заседания;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4"/>
        </w:rPr>
        <w:t>рассмотрев жалобу индивидуального предпринимателя Кравченко А.В. (далее – ИП Кравченко А.В., Заявитель) на действия Заказчика – Государственного областного бюджетного учреждения здравоохранения «Мурманская областная клиническая больница имени П.А. Баяндина» при проведении электронного аукциона «Поставка медицинских изделий (Система</w:t>
      </w:r>
    </w:p>
    <w:p>
      <w:pPr>
        <w:widowControl w:val="0"/>
        <w:spacing w:after="46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4"/>
        </w:rPr>
        <w:t xml:space="preserve">ультразвуковой визуализации универсальная, с питанием от сети)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для нужд филиала ГОБУЗ «МОКБ им. П.А.Баяндина»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ЦРБ ЗАТО г. Североморск» (реестровый номер извещения в ЕИС: </w:t>
      </w:r>
      <w:r>
        <w:fldChar w:fldCharType="begin"/>
      </w:r>
      <w:r>
        <w:rPr/>
        <w:instrText> HYPERLINK "https://zakupki.gov.ru/epz/order/notice/ea20/view/common-info.html?regNumber=0149200002326002171"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0149200002326002171</w:t>
      </w:r>
      <w:r>
        <w:fldChar w:fldCharType="end"/>
      </w:r>
      <w:r>
        <w:rPr>
          <w:rStyle w:val="CharStyle14"/>
          <w:lang w:val="en-US" w:eastAsia="en-US"/>
        </w:rPr>
        <w:t xml:space="preserve">)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Закупка), в соответствии со статьёй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28.04.2026 </w:t>
      </w:r>
      <w:r>
        <w:rPr>
          <w:rStyle w:val="CharStyle14"/>
        </w:rPr>
        <w:t xml:space="preserve">Единой информационной системе в сфере закупок </w:t>
      </w:r>
      <w:r>
        <w:rPr>
          <w:rStyle w:val="CharStyle14"/>
          <w:lang w:val="en-US" w:eastAsia="en-US"/>
        </w:rPr>
        <w:t xml:space="preserve">-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ЕИС) размещено извещение о проведении открытого аукциона в электронной форме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Извещение).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Заказчик: Филиал ГОБУЗ «МОКБ им. П.А. Баяндина»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Центральная районная больница ЗАТО г. Североморск.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Организация, осуществляющая размещение: Комитет по конкурентной политике Мурманской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Наименование объекта закупки: Поставка медицинских изделий (Система ультразвуковой визуализации универсальная, с питанием от сети)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для нужд филиала ГОБУЗ «МОКБ им. П.А.Баяндина»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ЦРБ ЗАТО г. Североморск.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контракта: </w:t>
      </w:r>
      <w:r>
        <w:rPr>
          <w:rStyle w:val="CharStyle14"/>
          <w:sz w:val="22"/>
          <w:szCs w:val="22"/>
          <w:lang w:val="en-US" w:eastAsia="en-US"/>
        </w:rPr>
        <w:t xml:space="preserve">4 288 833,33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Дата окончания срока подачи заявок: </w:t>
      </w:r>
      <w:r>
        <w:rPr>
          <w:rStyle w:val="CharStyle14"/>
          <w:lang w:val="en-US" w:eastAsia="en-US"/>
        </w:rPr>
        <w:t>07.05.2026.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Жалоба рассмотрена дистанционно посредством сервиса веб-видеоконференцсвязи </w:t>
      </w:r>
      <w:r>
        <w:rPr>
          <w:rStyle w:val="CharStyle14"/>
          <w:lang w:val="en-US" w:eastAsia="en-US"/>
        </w:rPr>
        <w:t xml:space="preserve">14.05.2026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09 </w:t>
      </w:r>
      <w:r>
        <w:rPr>
          <w:rStyle w:val="CharStyle14"/>
        </w:rPr>
        <w:t xml:space="preserve">часов </w:t>
      </w:r>
      <w:r>
        <w:rPr>
          <w:rStyle w:val="CharStyle14"/>
          <w:lang w:val="en-US" w:eastAsia="en-US"/>
        </w:rPr>
        <w:t xml:space="preserve">05 </w:t>
      </w:r>
      <w:r>
        <w:rPr>
          <w:rStyle w:val="CharStyle14"/>
        </w:rPr>
        <w:t>минут по московскому времени.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Заявленное до рассмотрения жалобы по существу в самой жалобе ходатайство ИП Кравченко А.В. рассмотрено Комиссией Мурманского УФАС России.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Ходатайство о рассмотрении жалобы в будние дни не раньше </w:t>
      </w:r>
      <w:r>
        <w:rPr>
          <w:rStyle w:val="CharStyle14"/>
          <w:lang w:val="en-US" w:eastAsia="en-US"/>
        </w:rPr>
        <w:t xml:space="preserve">14:00 </w:t>
      </w:r>
      <w:r>
        <w:rPr>
          <w:rStyle w:val="CharStyle14"/>
        </w:rPr>
        <w:t xml:space="preserve">и не позднее </w:t>
      </w:r>
      <w:r>
        <w:rPr>
          <w:rStyle w:val="CharStyle14"/>
          <w:lang w:val="en-US" w:eastAsia="en-US"/>
        </w:rPr>
        <w:t xml:space="preserve">15:00 </w:t>
      </w:r>
      <w:r>
        <w:rPr>
          <w:rStyle w:val="CharStyle14"/>
        </w:rPr>
        <w:t>по Московскому времени отклонено, поскольку время рассмотрения жалобы определено с учетом рабочего графика Мурманского УФАС России.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жалобе ИП Кравченко А.В. изложены доводы следующего содержания: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«Заказчик не установил ограничения по ПП </w:t>
      </w:r>
      <w:r>
        <w:rPr>
          <w:rStyle w:val="CharStyle14"/>
          <w:lang w:val="en-US" w:eastAsia="en-US"/>
        </w:rPr>
        <w:t xml:space="preserve">№ 878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>№126».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«Заказчик установил (не применил) ограничения допуска по Постановлению </w:t>
      </w:r>
      <w:r>
        <w:rPr>
          <w:rStyle w:val="CharStyle14"/>
          <w:lang w:val="en-US" w:eastAsia="en-US"/>
        </w:rPr>
        <w:t>№1875».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Приведенным в документации техническим характеристикам, в полной мере, не соответствует ни одна из моделей ультразвукового диагностического оборудования, присутствующая в едином реестре радиоэлектронной продукции. Описание объекта закупки возможно соответствует продукции исключительно иностранного производства более низкого качества, по завышенной цене.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Заказчик не применил Постановление Правительства РФ от </w:t>
      </w:r>
      <w:r>
        <w:rPr>
          <w:rStyle w:val="CharStyle14"/>
          <w:lang w:val="en-US" w:eastAsia="en-US"/>
        </w:rPr>
        <w:t xml:space="preserve">16 </w:t>
      </w:r>
      <w:r>
        <w:rPr>
          <w:rStyle w:val="CharStyle14"/>
        </w:rPr>
        <w:t xml:space="preserve">ноября </w:t>
      </w:r>
      <w:r>
        <w:rPr>
          <w:rStyle w:val="CharStyle14"/>
          <w:lang w:val="en-US" w:eastAsia="en-US"/>
        </w:rPr>
        <w:t xml:space="preserve">2015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1236 </w:t>
      </w:r>
      <w:r>
        <w:rPr>
          <w:rStyle w:val="CharStyle14"/>
        </w:rPr>
        <w:t>«Об установлении запрета на допуск программного обеспечения, происходящего из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иностранных государств, для целей осуществления закупок для обеспечения государственных и муниципальных нужд», также «Заказчик не сформулировал требования в отношении ПО, что нарушает часть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>Закона о контрактной системе. В данной закупке ПО не является предустановленным.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Не исполнены требования Постановления Правительства от </w:t>
      </w:r>
      <w:r>
        <w:rPr>
          <w:rStyle w:val="CharStyle14"/>
          <w:lang w:val="en-US" w:eastAsia="en-US"/>
        </w:rPr>
        <w:t xml:space="preserve">03.12.2020 № 2014 </w:t>
      </w:r>
      <w:r>
        <w:rPr>
          <w:rStyle w:val="CharStyle14"/>
        </w:rPr>
        <w:t xml:space="preserve">«О минимальной обязательной доли закупок российских товаров и ее достижении Заказчиком, в том числе в </w:t>
      </w:r>
      <w:r>
        <w:rPr>
          <w:rStyle w:val="CharStyle14"/>
          <w:lang w:val="en-US" w:eastAsia="en-US"/>
        </w:rPr>
        <w:t xml:space="preserve">2021, 2022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2023 </w:t>
      </w:r>
      <w:r>
        <w:rPr>
          <w:rStyle w:val="CharStyle14"/>
        </w:rPr>
        <w:t>годах. В доводах жалобы поставлен вопрос о размещении в ЕИС Отчета о выполнении Заказчиком минимальной обязательной доли закупок российских товаров.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Характеристики, указанные в ТЗ в полном объеме, по совокупности характеристик не подходит под описание какого-либо оборудования, поставляемого в РФ и имеющего РУ. Возможно присутствует у одного производителя, но данная информация не подтверждена. Заказчиком нарушены положения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Нет технического задания в Файле, в четком соответствии со структурным вариантом в ЕИС, нарушены правила использования каталога товаров, работ, услуг для обеспечения государственных и муниципальных нужд. Нарушены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Имеются нарушения в извещении о закупке и в проекте контракта (не указаны контактные данные сотрудников конечного получателя и функционального заказчика ЛПУ, а также срок действия и окончания контракта.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Заказчиком нарушены сроки и время окончания подачи заявок относительно размещения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Кроме того, Заявитель просит признать жалобу обоснованной, выдать предписание об устранении допущенных нарушений, направить жалобу в органы внутреннего финансового контроля для проведения проверки обоснования НМЦК, истребовать оригиналы запросов Российским производителям (минимум двум, находящимся в реестре радиоэлектронной продукции), оригинал уведомления о вручении данных запросов Почты России на бумажном носителе. Вместе с тем, по мнению Заявителя, действия Заказчика при осуществлении закупки ограничивают конкуренцию, в связи с чем Заявитель просит выделить в отдельное производство рассмотрение действий Заказчика на предмет соблюдения статьей </w:t>
      </w:r>
      <w:r>
        <w:rPr>
          <w:rStyle w:val="CharStyle14"/>
          <w:lang w:val="en-US" w:eastAsia="en-US"/>
        </w:rPr>
        <w:t xml:space="preserve">15, 16, 17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26.07.2006 № </w:t>
      </w:r>
      <w:r>
        <w:rPr>
          <w:rStyle w:val="CharStyle14"/>
        </w:rPr>
        <w:t>135-ФЗ «О защите конкуренции» в соответствующий отдел территориального управления.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Заказчик, Уполномоченный орган с доводами жалобы не согласны, представили письменные и устные возражения. Просят признать жалобу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Комиссия Мурманского УФАС России, рассмотрев доводы жалобы, проанализировав имеющиеся в деле документы, проведя в соответствии со статьей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внеплановую проверку соблюдения требований законодательства Заказчиком,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Рассматриваемые торги проведены в порядке, предусмотренном Федеральным законом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18 </w:t>
      </w:r>
      <w:r>
        <w:rPr>
          <w:rStyle w:val="CharStyle14"/>
        </w:rPr>
        <w:t xml:space="preserve">Перечня утративших силу актов и отдельных положений актов Правительства Российской Федерации, утвержденного Постановлением Правительства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с </w:t>
      </w:r>
      <w:r>
        <w:rPr>
          <w:rStyle w:val="CharStyle14"/>
          <w:lang w:val="en-US" w:eastAsia="en-US"/>
        </w:rPr>
        <w:t xml:space="preserve">01.01.2025 </w:t>
      </w:r>
      <w:r>
        <w:rPr>
          <w:rStyle w:val="CharStyle14"/>
        </w:rPr>
        <w:t xml:space="preserve">утратили силу «абзацы четвертый и пятый пункта </w:t>
      </w:r>
      <w:r>
        <w:rPr>
          <w:rStyle w:val="CharStyle14"/>
          <w:lang w:val="en-US" w:eastAsia="en-US"/>
        </w:rPr>
        <w:t xml:space="preserve">2, </w:t>
      </w:r>
      <w:r>
        <w:rPr>
          <w:rStyle w:val="CharStyle14"/>
        </w:rPr>
        <w:t xml:space="preserve">пункты </w:t>
      </w:r>
      <w:r>
        <w:rPr>
          <w:rStyle w:val="CharStyle14"/>
          <w:lang w:val="en-US" w:eastAsia="en-US"/>
        </w:rPr>
        <w:t xml:space="preserve">3 - 3(3), 6 - 8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>10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июля </w:t>
      </w:r>
      <w:r>
        <w:rPr>
          <w:rStyle w:val="CharStyle14"/>
          <w:lang w:val="en-US" w:eastAsia="en-US"/>
        </w:rPr>
        <w:t xml:space="preserve">2019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878 </w:t>
      </w:r>
      <w:r>
        <w:rPr>
          <w:rStyle w:val="CharStyle14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4"/>
          <w:lang w:val="en-US" w:eastAsia="en-US"/>
        </w:rPr>
        <w:t xml:space="preserve">16 </w:t>
      </w:r>
      <w:r>
        <w:rPr>
          <w:rStyle w:val="CharStyle14"/>
        </w:rPr>
        <w:t xml:space="preserve">сентября </w:t>
      </w:r>
      <w:r>
        <w:rPr>
          <w:rStyle w:val="CharStyle14"/>
          <w:lang w:val="en-US" w:eastAsia="en-US"/>
        </w:rPr>
        <w:t xml:space="preserve">2016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925 </w:t>
      </w:r>
      <w:r>
        <w:rPr>
          <w:rStyle w:val="CharStyle14"/>
        </w:rPr>
        <w:t xml:space="preserve">и признании утратившими силу некоторых актов Правительства Российской Федерации»,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и изменения, которые вносятся в постановление Правительства Российской Федерации от </w:t>
      </w:r>
      <w:r>
        <w:rPr>
          <w:rStyle w:val="CharStyle14"/>
          <w:lang w:val="en-US" w:eastAsia="en-US"/>
        </w:rPr>
        <w:t xml:space="preserve">16 </w:t>
      </w:r>
      <w:r>
        <w:rPr>
          <w:rStyle w:val="CharStyle14"/>
        </w:rPr>
        <w:t xml:space="preserve">сентября </w:t>
      </w:r>
      <w:r>
        <w:rPr>
          <w:rStyle w:val="CharStyle14"/>
          <w:lang w:val="en-US" w:eastAsia="en-US"/>
        </w:rPr>
        <w:t xml:space="preserve">2016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925, </w:t>
      </w:r>
      <w:r>
        <w:rPr>
          <w:rStyle w:val="CharStyle14"/>
        </w:rPr>
        <w:t>утвержденные указанным постановлением».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Приказ Министерства финансов Российской Федерации от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июня </w:t>
      </w:r>
      <w:r>
        <w:rPr>
          <w:rStyle w:val="CharStyle14"/>
          <w:lang w:val="en-US" w:eastAsia="en-US"/>
        </w:rPr>
        <w:t xml:space="preserve">2018 </w:t>
      </w:r>
      <w:r>
        <w:rPr>
          <w:rStyle w:val="CharStyle14"/>
        </w:rPr>
        <w:t xml:space="preserve">г.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утратил силу с </w:t>
      </w:r>
      <w:r>
        <w:rPr>
          <w:rStyle w:val="CharStyle14"/>
          <w:u w:val="single"/>
          <w:lang w:val="en-US" w:eastAsia="en-US"/>
        </w:rPr>
        <w:t xml:space="preserve">01 </w:t>
      </w:r>
      <w:r>
        <w:rPr>
          <w:rStyle w:val="CharStyle14"/>
          <w:u w:val="single"/>
        </w:rPr>
        <w:t xml:space="preserve">января </w:t>
      </w:r>
      <w:r>
        <w:rPr>
          <w:rStyle w:val="CharStyle14"/>
          <w:u w:val="single"/>
          <w:lang w:val="en-US" w:eastAsia="en-US"/>
        </w:rPr>
        <w:t xml:space="preserve">2025 </w:t>
      </w:r>
      <w:r>
        <w:rPr>
          <w:rStyle w:val="CharStyle14"/>
          <w:u w:val="single"/>
        </w:rPr>
        <w:t>года</w:t>
      </w:r>
      <w:r>
        <w:rPr>
          <w:rStyle w:val="CharStyle14"/>
        </w:rPr>
        <w:t xml:space="preserve"> в связи с изданием Приказа Министерства финансов Российской Федерации от </w:t>
      </w:r>
      <w:r>
        <w:rPr>
          <w:rStyle w:val="CharStyle14"/>
          <w:lang w:val="en-US" w:eastAsia="en-US"/>
        </w:rPr>
        <w:t xml:space="preserve">08.10.2024 </w:t>
      </w:r>
      <w:r>
        <w:rPr>
          <w:rStyle w:val="CharStyle14"/>
        </w:rPr>
        <w:t xml:space="preserve">№149н «О признании утратившими силу приказа Министерства финансов Российской Федерации от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июня </w:t>
      </w:r>
      <w:r>
        <w:rPr>
          <w:rStyle w:val="CharStyle14"/>
          <w:lang w:val="en-US" w:eastAsia="en-US"/>
        </w:rPr>
        <w:t xml:space="preserve">2018 </w:t>
      </w:r>
      <w:r>
        <w:rPr>
          <w:rStyle w:val="CharStyle14"/>
        </w:rPr>
        <w:t>г.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и внесенных в него изменений».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Закупка размещена Заказчиком в ЕИС </w:t>
      </w:r>
      <w:r>
        <w:rPr>
          <w:rStyle w:val="CharStyle14"/>
          <w:lang w:val="en-US" w:eastAsia="en-US"/>
        </w:rPr>
        <w:t>28.04.2026.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образом, нормы Постановления Правительства РФ от </w:t>
      </w:r>
      <w:r>
        <w:rPr>
          <w:rStyle w:val="CharStyle14"/>
          <w:lang w:val="en-US" w:eastAsia="en-US"/>
        </w:rPr>
        <w:t xml:space="preserve">10.07.2019 № 878 </w:t>
      </w:r>
      <w:r>
        <w:rPr>
          <w:rStyle w:val="CharStyle14"/>
        </w:rPr>
        <w:t xml:space="preserve">и приказа Минфина от </w:t>
      </w:r>
      <w:r>
        <w:rPr>
          <w:rStyle w:val="CharStyle14"/>
          <w:lang w:val="en-US" w:eastAsia="en-US"/>
        </w:rPr>
        <w:t xml:space="preserve">04.06.2018 № </w:t>
      </w:r>
      <w:r>
        <w:rPr>
          <w:rStyle w:val="CharStyle14"/>
        </w:rPr>
        <w:t>126н в рассматриваемой закупке не применимы и Заказчик не должен был ими руководствоваться.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Следовательно, данный довод жалобы является необоснованным.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Закона о контрактной системе Правительство Российской Федерации: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вправе с учетом положений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настоящей статьи принимать меры,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both"/>
      </w:pPr>
      <w:r>
        <w:rPr>
          <w:rStyle w:val="CharStyle14"/>
        </w:rPr>
        <w:t>устанавливающие: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настоящей части.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рамках 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принято Постановление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23.12.2024 </w:t>
      </w:r>
      <w:r>
        <w:rPr>
          <w:rStyle w:val="CharStyle14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>№ 1875).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Федерального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информации описания объекта закупки, Заказчиком закупается система ультразвуковой визуализации универсальная, с питанием от сети,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и применён код позиции каталога товаров, работ и услуг </w:t>
      </w:r>
      <w:r>
        <w:rPr>
          <w:rStyle w:val="CharStyle14"/>
          <w:lang w:val="en-US" w:eastAsia="en-US"/>
        </w:rPr>
        <w:t>26.60.12.132</w:t>
        <w:softHyphen/>
        <w:t xml:space="preserve">00000036 - </w:t>
      </w:r>
      <w:r>
        <w:rPr>
          <w:rStyle w:val="CharStyle14"/>
        </w:rPr>
        <w:t xml:space="preserve">«Система ультразвуковой визуализации универсальная, с питанием от сети». Дата начала обязательного применения позиции каталога </w:t>
      </w:r>
      <w:r>
        <w:rPr>
          <w:rStyle w:val="CharStyle14"/>
          <w:lang w:val="en-US" w:eastAsia="en-US"/>
        </w:rPr>
        <w:t>- 18.04.2026.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Также из извещения и указанной позиции каталога товаров, работ и услуг следует, что закупаемый заказчиком товар имеет код ОКПД2 </w:t>
      </w:r>
      <w:r>
        <w:rPr>
          <w:rStyle w:val="CharStyle14"/>
          <w:lang w:val="en-US" w:eastAsia="en-US"/>
        </w:rPr>
        <w:t xml:space="preserve">26.60.12.132: </w:t>
      </w:r>
      <w:r>
        <w:rPr>
          <w:rStyle w:val="CharStyle14"/>
        </w:rPr>
        <w:t xml:space="preserve">Аппараты ультразвукового сканирования, который входит в перечень товаров, происходящих из иностранных государств, в отношении которых Постановлением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установлены ограничения закупок для обеспечения государственных и муниципальных нужд (Приложение </w:t>
      </w:r>
      <w:r>
        <w:rPr>
          <w:rStyle w:val="CharStyle14"/>
          <w:lang w:val="en-US" w:eastAsia="en-US"/>
        </w:rPr>
        <w:t xml:space="preserve">№ 2, </w:t>
      </w:r>
      <w:r>
        <w:rPr>
          <w:rStyle w:val="CharStyle14"/>
        </w:rPr>
        <w:t xml:space="preserve">позиция </w:t>
      </w:r>
      <w:r>
        <w:rPr>
          <w:rStyle w:val="CharStyle14"/>
          <w:lang w:val="en-US" w:eastAsia="en-US"/>
        </w:rPr>
        <w:t xml:space="preserve">314 </w:t>
      </w:r>
      <w:r>
        <w:rPr>
          <w:rStyle w:val="CharStyle14"/>
        </w:rPr>
        <w:t>«Аппараты ультразвукового сканирования»).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Комиссией Мурманского УФАС установлено, что в Извещении, в электронном документе к извещению «Требования к содержанию, составу заявки на участие в закупке и инструкция по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ее заполнению» установлены ограничения в соответствии с требованиями Постановления </w:t>
      </w:r>
      <w:r>
        <w:rPr>
          <w:rStyle w:val="CharStyle14"/>
          <w:lang w:val="en-US" w:eastAsia="en-US"/>
        </w:rPr>
        <w:t>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Довод жалобы не нашел подтверждения.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отношении довода жалобы, что приведенным в документации техническим характеристикам в полной мере не соответствует ни одна из моделей ультразвукового диагностического оборудования, присутствующая в едином реестре радиоэлектронной продукции, Комиссия Мурманского УФАС России полагает отметить, что при анализе извещения о проведении закупки Комиссией Мурманского УФАС России установлено, что в описании объекта закупки указаны функциональные, технические и качественные характеристики, эксплуатационные характеристики объекта закупки и не установлены требования или указания в отношении конкретных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Во вкладке «Описание товара, работы, услуги» карточки позиции КТРУ, примененной Заказчиком, перечислены характеристики товара, обязательные к применению, и, соответственно, не обязательные к применению.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При этом применение характеристик, не являющихся обязательными к применению, является правом заказчиков, которым они могут воспользоваться по своему усмотрению исходя из собственной потребности.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 в Извещении отражены показатели, позволяющие определить соответствие закупаемых товара, работы, услуги установленным заказчиком требованиям в соответствии с описанием товаров, работ, услуг позиции КТРУ </w:t>
      </w:r>
      <w:r>
        <w:rPr>
          <w:rStyle w:val="CharStyle14"/>
          <w:lang w:val="en-US" w:eastAsia="en-US"/>
        </w:rPr>
        <w:t xml:space="preserve">26.60.12.132-00000036, </w:t>
      </w:r>
      <w:r>
        <w:rPr>
          <w:rStyle w:val="CharStyle14"/>
        </w:rPr>
        <w:t xml:space="preserve">дополнительные характеристики </w:t>
      </w:r>
      <w:r>
        <w:rPr>
          <w:rStyle w:val="CharStyle14"/>
          <w:b/>
          <w:bCs/>
        </w:rPr>
        <w:t xml:space="preserve">требующие обоснования </w:t>
      </w:r>
      <w:r>
        <w:rPr>
          <w:rStyle w:val="CharStyle14"/>
        </w:rPr>
        <w:t xml:space="preserve">Заказчиком </w:t>
      </w:r>
      <w:r>
        <w:rPr>
          <w:rStyle w:val="CharStyle14"/>
          <w:b/>
          <w:bCs/>
        </w:rPr>
        <w:t>не установлены.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Также важно отметить, что Описание объекта закупки не содержит указания в отношении конкретных товарных знаков, знаков обслуживания, фирменных наименований, патентов, полезных моделей, промышленных образцов, наименования страны происхождения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На основании вышеизложенного, описание объекта закупки не противоречит требованиям законодательства о контрактной системе, сформировано на основании потребности медицинского учреждения с использованием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пояснениям представителя Заказчика, на основании части </w:t>
      </w:r>
      <w:r>
        <w:rPr>
          <w:rStyle w:val="CharStyle14"/>
          <w:lang w:val="en-US" w:eastAsia="en-US"/>
        </w:rPr>
        <w:t xml:space="preserve">1.1.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при описании объекта закупки Заказчиком учитывались характеристики товара российского производства.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Комиссией установлено, что на основании осуществленного Заказчиком в целях привлечения наибольшего количества участников и определения начальной максимальной цены контракта был размещен в ЕИС запрос цен.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0" w:val="left"/>
        </w:tabs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ООО «Мурман-Медтехника» с ценовым предложением </w:t>
      </w:r>
      <w:r>
        <w:rPr>
          <w:rStyle w:val="CharStyle14"/>
          <w:lang w:val="en-US" w:eastAsia="en-US"/>
        </w:rPr>
        <w:t xml:space="preserve">4 043 500,00 </w:t>
      </w:r>
      <w:r>
        <w:rPr>
          <w:rStyle w:val="CharStyle14"/>
        </w:rPr>
        <w:t xml:space="preserve">рублей, наименование товара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Система ультразвуковой визуализации универсальная серии </w:t>
      </w:r>
      <w:r>
        <w:rPr>
          <w:rStyle w:val="CharStyle14"/>
          <w:lang w:val="en-US" w:eastAsia="en-US"/>
        </w:rPr>
        <w:t xml:space="preserve">ELC- Wisonic, </w:t>
      </w:r>
      <w:r>
        <w:rPr>
          <w:rStyle w:val="CharStyle14"/>
        </w:rPr>
        <w:t xml:space="preserve">в варианте исполнения </w:t>
      </w:r>
      <w:r>
        <w:rPr>
          <w:rStyle w:val="CharStyle14"/>
          <w:lang w:val="en-US" w:eastAsia="en-US"/>
        </w:rPr>
        <w:t xml:space="preserve">ELC-Wisonic </w:t>
      </w:r>
      <w:r>
        <w:rPr>
          <w:rStyle w:val="CharStyle14"/>
        </w:rPr>
        <w:t xml:space="preserve">С с принадлежностями по ТУ 26.60Л2-004- </w:t>
      </w:r>
      <w:r>
        <w:rPr>
          <w:rStyle w:val="CharStyle14"/>
          <w:lang w:val="en-US" w:eastAsia="en-US"/>
        </w:rPr>
        <w:t xml:space="preserve">39346393-2021, </w:t>
      </w:r>
      <w:r>
        <w:rPr>
          <w:rStyle w:val="CharStyle14"/>
        </w:rPr>
        <w:t xml:space="preserve">производитель: ООО «ЕЛС-МЕД», Россия. Регистрационное удостоверение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>2024/23134 12.07.2024.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ИП Нахалова Александра Николаевна с ценовым предложением </w:t>
      </w:r>
      <w:r>
        <w:rPr>
          <w:rStyle w:val="CharStyle14"/>
          <w:lang w:val="en-US" w:eastAsia="en-US"/>
        </w:rPr>
        <w:t xml:space="preserve">4 470 000,00 </w:t>
      </w:r>
      <w:r>
        <w:rPr>
          <w:rStyle w:val="CharStyle14"/>
        </w:rPr>
        <w:t xml:space="preserve">рублей, наименование товара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аппарат ультразвуковой диагностический многофункциональный </w:t>
      </w:r>
      <w:r>
        <w:rPr>
          <w:rStyle w:val="CharStyle14"/>
          <w:lang w:val="en-US" w:eastAsia="en-US"/>
        </w:rPr>
        <w:t xml:space="preserve">MyLab, </w:t>
      </w:r>
      <w:r>
        <w:rPr>
          <w:rStyle w:val="CharStyle14"/>
        </w:rPr>
        <w:t xml:space="preserve">вариант исполнений: </w:t>
      </w:r>
      <w:r>
        <w:rPr>
          <w:rStyle w:val="CharStyle14"/>
          <w:lang w:val="en-US" w:eastAsia="en-US"/>
        </w:rPr>
        <w:t xml:space="preserve">MyLab Sigma, </w:t>
      </w:r>
      <w:r>
        <w:rPr>
          <w:rStyle w:val="CharStyle14"/>
        </w:rPr>
        <w:t xml:space="preserve">регистрационное удостоверение: РЗН </w:t>
      </w:r>
      <w:r>
        <w:rPr>
          <w:rStyle w:val="CharStyle14"/>
          <w:lang w:val="en-US" w:eastAsia="en-US"/>
        </w:rPr>
        <w:t xml:space="preserve">2021/15970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13.12.2021, </w:t>
      </w:r>
      <w:r>
        <w:rPr>
          <w:rStyle w:val="CharStyle14"/>
        </w:rPr>
        <w:t xml:space="preserve">производитель: </w:t>
      </w:r>
      <w:r>
        <w:rPr>
          <w:rStyle w:val="CharStyle14"/>
          <w:lang w:val="en-US" w:eastAsia="en-US"/>
        </w:rPr>
        <w:t xml:space="preserve">ESAOTE S.p.A. </w:t>
      </w:r>
      <w:r>
        <w:rPr>
          <w:rStyle w:val="CharStyle14"/>
        </w:rPr>
        <w:t>(ЭЗАОТЕ С.п.А), Итальянская Республика.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ООО «Медицинские решения» с ценовым предложением </w:t>
      </w:r>
      <w:r>
        <w:rPr>
          <w:rStyle w:val="CharStyle14"/>
          <w:lang w:val="en-US" w:eastAsia="en-US"/>
        </w:rPr>
        <w:t xml:space="preserve">4 353 000,00 </w:t>
      </w:r>
      <w:r>
        <w:rPr>
          <w:rStyle w:val="CharStyle14"/>
        </w:rPr>
        <w:t xml:space="preserve">рублей, наименование товара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серии </w:t>
      </w:r>
      <w:r>
        <w:rPr>
          <w:rStyle w:val="CharStyle14"/>
          <w:lang w:val="en-US" w:eastAsia="en-US"/>
        </w:rPr>
        <w:t xml:space="preserve">ELC-Wisonic, </w:t>
      </w:r>
      <w:r>
        <w:rPr>
          <w:rStyle w:val="CharStyle14"/>
        </w:rPr>
        <w:t xml:space="preserve">в варианте исполнения </w:t>
      </w:r>
      <w:r>
        <w:rPr>
          <w:rStyle w:val="CharStyle14"/>
          <w:lang w:val="en-US" w:eastAsia="en-US"/>
        </w:rPr>
        <w:t xml:space="preserve">ELC-Wisonic </w:t>
      </w:r>
      <w:r>
        <w:rPr>
          <w:rStyle w:val="CharStyle14"/>
        </w:rPr>
        <w:t xml:space="preserve">С с принадлежностями по ТУ 26.60Л2-004-39346393-2021, производитель: ООО «ЕЛС-МЕД», Россия. Регистрационное удостоверение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>2024/23134 12.07.2024.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14"/>
        </w:rPr>
        <w:t>Также Заказчиком представлена сравнительная таблица, исходя из которой установленным в извещении о проведении закупки характеристикам соответствуют товары двух производителей.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 Комиссией Мурманского УФАС России установлено, что Заказчиком при формировании объекта закупки соблюдены условия, указанные в письме ФАС России от </w:t>
      </w:r>
      <w:r>
        <w:rPr>
          <w:rStyle w:val="CharStyle14"/>
          <w:lang w:val="en-US" w:eastAsia="en-US"/>
        </w:rPr>
        <w:t xml:space="preserve">11.08.2021 № </w:t>
      </w:r>
      <w:r>
        <w:rPr>
          <w:rStyle w:val="CharStyle14"/>
        </w:rPr>
        <w:t>ПИ/67237/21, согласно которому объект закупки должен быть сформирован таким образом, чтобы совокупности характеристик товаров соответствовало как минимум двум производителям.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Более того, Комиссией Мурманского УФАС установлено, что на участие в Аукционе подано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(две) заявки, в которых содержались предложения о товарах двух разных производителей: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2017/6119, </w:t>
      </w:r>
      <w:r>
        <w:rPr>
          <w:rStyle w:val="CharStyle14"/>
        </w:rPr>
        <w:t xml:space="preserve">Система ультразвуковая цифровая цветовая доплеровская </w:t>
      </w:r>
      <w:r>
        <w:rPr>
          <w:rStyle w:val="CharStyle14"/>
          <w:lang w:val="en-US" w:eastAsia="en-US"/>
        </w:rPr>
        <w:t xml:space="preserve">CHISON </w:t>
      </w:r>
      <w:r>
        <w:rPr>
          <w:rStyle w:val="CharStyle14"/>
        </w:rPr>
        <w:t>(Китайская Народная Республика).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2024/23134 </w:t>
      </w:r>
      <w:r>
        <w:rPr>
          <w:rStyle w:val="CharStyle14"/>
        </w:rPr>
        <w:t xml:space="preserve">"Система ультразвуковой визуализации универсальная серии </w:t>
      </w:r>
      <w:r>
        <w:rPr>
          <w:rStyle w:val="CharStyle14"/>
          <w:lang w:val="en-US" w:eastAsia="en-US"/>
        </w:rPr>
        <w:t xml:space="preserve">ELC- Wisonic, </w:t>
      </w:r>
      <w:r>
        <w:rPr>
          <w:rStyle w:val="CharStyle14"/>
        </w:rPr>
        <w:t xml:space="preserve">в варианте исполнения </w:t>
      </w:r>
      <w:r>
        <w:rPr>
          <w:rStyle w:val="CharStyle14"/>
          <w:lang w:val="en-US" w:eastAsia="en-US"/>
        </w:rPr>
        <w:t xml:space="preserve">ELC-Wisonic </w:t>
      </w:r>
      <w:r>
        <w:rPr>
          <w:rStyle w:val="CharStyle14"/>
        </w:rPr>
        <w:t xml:space="preserve">С с принадлежностями по ТУ 26.60Л2-004- </w:t>
      </w:r>
      <w:r>
        <w:rPr>
          <w:rStyle w:val="CharStyle14"/>
          <w:lang w:val="en-US" w:eastAsia="en-US"/>
        </w:rPr>
        <w:t xml:space="preserve">39346393-2021 </w:t>
      </w:r>
      <w:r>
        <w:rPr>
          <w:rStyle w:val="CharStyle14"/>
        </w:rPr>
        <w:t>(Российская Федерация).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Кроме того, Комиссия Мурманского УФАС России полагает необходимым отметить, что предметом закупки является не производство, а поставка товаров различного назначения и обладающих определенными функциональными свойствами. В соответствии со статьей </w:t>
      </w:r>
      <w:r>
        <w:rPr>
          <w:rStyle w:val="CharStyle14"/>
          <w:lang w:val="en-US" w:eastAsia="en-US"/>
        </w:rPr>
        <w:t xml:space="preserve">506 </w:t>
      </w:r>
      <w:r>
        <w:rPr>
          <w:rStyle w:val="CharStyle14"/>
        </w:rPr>
        <w:t>Гражданского кодекса РФ в качестве поставщика по договору поставки может выступать как непосредственно сам производитель, так и иное лицо, закупающее товары для дальнейшей передачи. Оборот указанных товаров не ограничен, а, следовательно, возможность их приобретения с целью дальнейшей поставки имеет любой участник закупки, заинтересованный в участии в рассматриваемой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таких обстоятельствах, отсутствие у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Заказчиком числа участников торгов.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Комиссия Мурманского УФАС России, изучив представленные на рассмотрение жалобы материалы дела, пришла к выводу, что функциональные, технические и качественные характеристики товара, изложенные заказчиком в Описании объекта закупки, являющегося приложением к извещению электронного аукциона, соответствуют показателям товара как минимум двух различных производителей, а требования к товару установлены в соответствии с требованиями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Довод жалобы не нашел своего подтверждения.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</w:t>
      </w:r>
      <w:r>
        <w:rPr>
          <w:rStyle w:val="CharStyle14"/>
          <w:color w:val="0000FF"/>
        </w:rPr>
        <w:t xml:space="preserve">пункту </w:t>
      </w:r>
      <w:r>
        <w:rPr>
          <w:rStyle w:val="CharStyle14"/>
          <w:color w:val="0000FF"/>
          <w:lang w:val="en-US" w:eastAsia="en-US"/>
        </w:rPr>
        <w:t xml:space="preserve">5 </w:t>
      </w:r>
      <w:r>
        <w:rPr>
          <w:rStyle w:val="CharStyle14"/>
          <w:color w:val="0000FF"/>
        </w:rPr>
        <w:t xml:space="preserve">части </w:t>
      </w:r>
      <w:r>
        <w:rPr>
          <w:rStyle w:val="CharStyle14"/>
          <w:color w:val="0000FF"/>
          <w:lang w:val="en-US" w:eastAsia="en-US"/>
        </w:rPr>
        <w:t xml:space="preserve">1 </w:t>
      </w:r>
      <w:r>
        <w:rPr>
          <w:rStyle w:val="CharStyle14"/>
          <w:color w:val="0000FF"/>
        </w:rPr>
        <w:t xml:space="preserve">статьи </w:t>
      </w:r>
      <w:r>
        <w:rPr>
          <w:rStyle w:val="CharStyle14"/>
          <w:color w:val="0000FF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r>
        <w:rPr>
          <w:rStyle w:val="CharStyle14"/>
          <w:color w:val="0000FF"/>
        </w:rPr>
        <w:t xml:space="preserve">частью </w:t>
      </w:r>
      <w:r>
        <w:rPr>
          <w:rStyle w:val="CharStyle14"/>
          <w:color w:val="0000FF"/>
          <w:lang w:val="en-US" w:eastAsia="en-US"/>
        </w:rPr>
        <w:t xml:space="preserve">6 </w:t>
      </w:r>
      <w:r>
        <w:rPr>
          <w:rStyle w:val="CharStyle14"/>
          <w:color w:val="0000FF"/>
        </w:rPr>
        <w:t xml:space="preserve">статьи </w:t>
      </w:r>
      <w:r>
        <w:rPr>
          <w:rStyle w:val="CharStyle14"/>
          <w:color w:val="0000FF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N 145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использования КТРУ), заказчик не вправе указать в извещении об осуществлении закупки дополнительные технические характеристики товара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4"/>
          <w:lang w:val="en-US" w:eastAsia="en-US"/>
        </w:rPr>
        <w:t xml:space="preserve">191 - 361 </w:t>
      </w:r>
      <w:r>
        <w:rPr>
          <w:rStyle w:val="CharStyle14"/>
          <w:color w:val="0000FF"/>
        </w:rPr>
        <w:t xml:space="preserve">приложения </w:t>
      </w:r>
      <w:r>
        <w:rPr>
          <w:rStyle w:val="CharStyle14"/>
          <w:color w:val="0000FF"/>
          <w:lang w:val="en-US" w:eastAsia="en-US"/>
        </w:rPr>
        <w:t xml:space="preserve">№ 2 </w:t>
      </w:r>
      <w:r>
        <w:rPr>
          <w:rStyle w:val="CharStyle14"/>
        </w:rPr>
        <w:t xml:space="preserve">к постановлению Правительства Российской Федерации от </w:t>
      </w:r>
      <w:r>
        <w:rPr>
          <w:rStyle w:val="CharStyle14"/>
          <w:lang w:val="en-US" w:eastAsia="en-US"/>
        </w:rPr>
        <w:t xml:space="preserve">23.12.2024 N 1875 </w:t>
      </w:r>
      <w:r>
        <w:rPr>
          <w:rStyle w:val="CharStyle14"/>
        </w:rPr>
        <w:t xml:space="preserve">(аппараты ультразвукового сканирования с кодом </w:t>
      </w:r>
      <w:r>
        <w:rPr>
          <w:rStyle w:val="CharStyle14"/>
          <w:color w:val="0000FF"/>
        </w:rPr>
        <w:t xml:space="preserve">ОКПД2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  <w:color w:val="0000FF"/>
          <w:lang w:val="en-US" w:eastAsia="en-US"/>
        </w:rPr>
        <w:t xml:space="preserve">26.60.12.132 </w:t>
      </w:r>
      <w:r>
        <w:rPr>
          <w:rStyle w:val="CharStyle14"/>
        </w:rPr>
        <w:t xml:space="preserve">включены в позицию </w:t>
      </w:r>
      <w:r>
        <w:rPr>
          <w:rStyle w:val="CharStyle14"/>
          <w:lang w:val="en-US" w:eastAsia="en-US"/>
        </w:rPr>
        <w:t>314).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Как установлено Комиссией Мурманского УФАС России, заказчиком при описании объекта закупки в Извещении </w:t>
      </w:r>
      <w:r>
        <w:rPr>
          <w:rStyle w:val="CharStyle14"/>
          <w:b/>
          <w:bCs/>
        </w:rPr>
        <w:t>использовались исключительно характеристики товара</w:t>
      </w:r>
      <w:r>
        <w:rPr>
          <w:rStyle w:val="CharStyle14"/>
        </w:rPr>
        <w:t xml:space="preserve">, указанные в коде позиции КТРУ </w:t>
      </w:r>
      <w:r>
        <w:rPr>
          <w:rStyle w:val="CharStyle14"/>
          <w:lang w:val="en-US" w:eastAsia="en-US"/>
        </w:rPr>
        <w:t xml:space="preserve">- 26.60.12.132-00000036 </w:t>
      </w:r>
      <w:r>
        <w:rPr>
          <w:rStyle w:val="CharStyle14"/>
        </w:rPr>
        <w:t>"Система ультразвуковой визуализации универсальная, с питанием от сети".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При этом, позиция КТРУ </w:t>
      </w:r>
      <w:r>
        <w:rPr>
          <w:rStyle w:val="CharStyle14"/>
          <w:lang w:val="en-US" w:eastAsia="en-US"/>
        </w:rPr>
        <w:t xml:space="preserve">- 26.60.12.132-00000036 </w:t>
      </w:r>
      <w:r>
        <w:rPr>
          <w:rStyle w:val="CharStyle14"/>
        </w:rPr>
        <w:t xml:space="preserve">"Система ультразвуковой визуализации универсальная, с питанием от сети" содержит требование к сервисным функциям, в частности, Программа обмена данными по протоколу </w:t>
      </w:r>
      <w:r>
        <w:rPr>
          <w:rStyle w:val="CharStyle14"/>
          <w:lang w:val="en-US" w:eastAsia="en-US"/>
        </w:rPr>
        <w:t xml:space="preserve">DICOM, </w:t>
      </w:r>
      <w:r>
        <w:rPr>
          <w:rStyle w:val="CharStyle14"/>
        </w:rPr>
        <w:t xml:space="preserve">Запись кадров и кинопетель в формате </w:t>
      </w:r>
      <w:r>
        <w:rPr>
          <w:rStyle w:val="CharStyle14"/>
          <w:lang w:val="en-US" w:eastAsia="en-US"/>
        </w:rPr>
        <w:t>DICOM.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Аналогичные требования установлены Заказчиком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Порядок и основания установления запрета на допуск программного обеспечения, происходящего из иностранных государств, с </w:t>
      </w:r>
      <w:r>
        <w:rPr>
          <w:rStyle w:val="CharStyle14"/>
          <w:lang w:val="en-US" w:eastAsia="en-US"/>
        </w:rPr>
        <w:t xml:space="preserve">01.01.2025 </w:t>
      </w:r>
      <w:r>
        <w:rPr>
          <w:rStyle w:val="CharStyle14"/>
        </w:rPr>
        <w:t xml:space="preserve">регулируется положениями Постановления </w:t>
      </w:r>
      <w:r>
        <w:rPr>
          <w:rStyle w:val="CharStyle14"/>
          <w:lang w:val="en-US" w:eastAsia="en-US"/>
        </w:rPr>
        <w:t>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иностранные лица), по перечню приложения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>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Программы для электронных вычислительных машин по коду ОКПД2 </w:t>
      </w:r>
      <w:r>
        <w:rPr>
          <w:rStyle w:val="CharStyle14"/>
          <w:lang w:val="en-US" w:eastAsia="en-US"/>
        </w:rPr>
        <w:t xml:space="preserve">58.29 </w:t>
      </w:r>
      <w:r>
        <w:rPr>
          <w:rStyle w:val="CharStyle14"/>
        </w:rPr>
        <w:t xml:space="preserve">«Услуги по изданию прочего программного обеспечения» включены в приложение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(позиция </w:t>
      </w:r>
      <w:r>
        <w:rPr>
          <w:rStyle w:val="CharStyle14"/>
          <w:lang w:val="en-US" w:eastAsia="en-US"/>
        </w:rPr>
        <w:t>146).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Подпунктом «о» пункта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установлено, что предусмотренный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запрет закупок программного обеспечения, указанного в позиции </w:t>
      </w:r>
      <w:r>
        <w:rPr>
          <w:rStyle w:val="CharStyle14"/>
          <w:lang w:val="en-US" w:eastAsia="en-US"/>
        </w:rPr>
        <w:t xml:space="preserve">146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>№ 1875: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3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также применяется, если такое программное обеспечение включено в состав объекта закупки наряду с иными товарами, работами, услугами;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применяется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также исключительных прав на программное обеспечение и прав использования программного обеспечения;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не применяется при осуществлении закупок программного обеспечения, сведения о котором и (или) о закупке которого составляют государственную тайну.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3.47 </w:t>
      </w:r>
      <w:r>
        <w:rPr>
          <w:rStyle w:val="CharStyle14"/>
        </w:rPr>
        <w:t xml:space="preserve">«ГОСТ Р </w:t>
      </w:r>
      <w:r>
        <w:rPr>
          <w:rStyle w:val="CharStyle14"/>
          <w:lang w:val="en-US" w:eastAsia="en-US"/>
        </w:rPr>
        <w:t xml:space="preserve">51904-2002. </w:t>
      </w:r>
      <w:r>
        <w:rPr>
          <w:rStyle w:val="CharStyle14"/>
        </w:rPr>
        <w:t xml:space="preserve">Государственный стандарт Российской Федерации. Программное обеспечение встроенных программ. Общие требования к разработке и документированию» программное обеспечение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это совокупность компьютерных программ и программных документов, необходимых для эксплуатации этих программ.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Подпунктом «с» пункта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1875 </w:t>
      </w:r>
      <w:r>
        <w:rPr>
          <w:rStyle w:val="CharStyle14"/>
        </w:rPr>
        <w:t xml:space="preserve">для целей Постановления </w:t>
      </w:r>
      <w:r>
        <w:rPr>
          <w:rStyle w:val="CharStyle14"/>
          <w:lang w:val="en-US" w:eastAsia="en-US"/>
        </w:rPr>
        <w:t xml:space="preserve">1875 </w:t>
      </w:r>
      <w:r>
        <w:rPr>
          <w:rStyle w:val="CharStyle14"/>
        </w:rPr>
        <w:t>под программным обеспечением понимается программное обеспечение и (или) права на него возникшие вследствие: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3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поставки на материальном носителе и (или) в электронном виде по каналам связи, а также предоставления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поставки, технического обслуживания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 (договора);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3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выполнения работ, оказания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оказания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Исходя из вышеизложенной нормы, программное обеспечение подлежит установке или обновлению в результате исполнения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Предметом закупки является поставка оборудования со встроенным программным обеспечением, предусмотренным КТРУ, которое является неотделимым от закупаемого оборудования и обеспечивающим управление им и его компонентами исключительно в совокупности с использованием такого оборудования, то есть, в данном случае заказчик приобретает медицинское изделие с определенными функциями/опциями, а не программное обеспечение.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состав поставляемого товара входят встроенные пакеты специализированных программ, которые составляют неотъемлемую часть функционала приобретаемого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оборудования, которая обеспечивает запуск и работу системы, выполняя по отношению к ней функцию управления.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Также Постановлением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>установлено, что запрет применяется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также исключительных прав на программное обеспечение и прав использования программного обеспечения.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процессе исполнения контракта не передаются права на какое-либо программное обеспечение, не требуется проведение работ либо оказание услуг, на которые распространяются положения 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>в части запрета.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Таким образом, Заказчиком правомерно не установлен запрет на допуск программного обеспечения, происходящего из иностранных государств (не сформулированы требования в отношении ПО).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Доказательств обратного Заявителем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Учитывая изложенное, Комиссия Мурманского УФАС России приходит к выводу, что применительно к рассматриваемому случаю, у заказчика отсутствует обязанность устанавливать в извещении о проведении аукциона в электронной форме запрет, предусмотренный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>23.12.2024 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образом, довод Заявителя, что заказчиком закупается программное обеспечение </w:t>
      </w:r>
      <w:r>
        <w:rPr>
          <w:rStyle w:val="CharStyle14"/>
          <w:lang w:val="en-US" w:eastAsia="en-US"/>
        </w:rPr>
        <w:t xml:space="preserve">DICOM, </w:t>
      </w:r>
      <w:r>
        <w:rPr>
          <w:rStyle w:val="CharStyle14"/>
        </w:rPr>
        <w:t>в связи с чем, заказчиком должен был быть применен запрет закупок товаров, происходящих из иностранных государств,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Ссылка Заявителя на </w:t>
      </w:r>
      <w:r>
        <w:rPr>
          <w:rStyle w:val="CharStyle14"/>
          <w:color w:val="0000FF"/>
        </w:rPr>
        <w:t xml:space="preserve">постановление </w:t>
      </w:r>
      <w:r>
        <w:rPr>
          <w:rStyle w:val="CharStyle14"/>
        </w:rPr>
        <w:t xml:space="preserve">Правительства Российской Федерации от </w:t>
      </w:r>
      <w:r>
        <w:rPr>
          <w:rStyle w:val="CharStyle14"/>
          <w:lang w:val="en-US" w:eastAsia="en-US"/>
        </w:rPr>
        <w:t xml:space="preserve">16.11.2015 № 1236 </w:t>
      </w:r>
      <w:r>
        <w:rPr>
          <w:rStyle w:val="CharStyle14"/>
        </w:rPr>
        <w:t xml:space="preserve">не может быть принята во внимание, поскольку указанное </w:t>
      </w:r>
      <w:r>
        <w:rPr>
          <w:rStyle w:val="CharStyle14"/>
          <w:color w:val="0000FF"/>
        </w:rPr>
        <w:t xml:space="preserve">постановление </w:t>
      </w:r>
      <w:r>
        <w:rPr>
          <w:rStyle w:val="CharStyle14"/>
        </w:rPr>
        <w:t xml:space="preserve">Правительства Российской Федерации регулирует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членов Евразийского экономического союза, за исключением Российской Федерации.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доводу жалобы, Заказчиком не исполнены требования Постановления Правительства РФ от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2020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2014 </w:t>
      </w:r>
      <w:r>
        <w:rPr>
          <w:rStyle w:val="CharStyle14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2014), </w:t>
      </w:r>
      <w:r>
        <w:rPr>
          <w:rStyle w:val="CharStyle14"/>
        </w:rPr>
        <w:t xml:space="preserve">в части закупки аппаратов ультразвукового исследования Российского производства не менее </w:t>
      </w:r>
      <w:r>
        <w:rPr>
          <w:rStyle w:val="CharStyle14"/>
          <w:lang w:val="en-US" w:eastAsia="en-US"/>
        </w:rPr>
        <w:t>80%.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Вместе с тем Комиссия Управления отмечает, что согласно пункту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2014 </w:t>
      </w:r>
      <w:r>
        <w:rPr>
          <w:rStyle w:val="CharStyle14"/>
        </w:rPr>
        <w:t>федеральным органом исполнительной власти, уполномоченным на осуществление оценки достижения заказчиком минимальной доли закупок является Министерство промышленности и торговли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Таким образом, учитывая,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порядке, предусмотренном постановлением </w:t>
      </w:r>
      <w:r>
        <w:rPr>
          <w:rStyle w:val="CharStyle14"/>
          <w:lang w:val="en-US" w:eastAsia="en-US"/>
        </w:rPr>
        <w:t xml:space="preserve">№ 2014, </w:t>
      </w:r>
      <w:r>
        <w:rPr>
          <w:rStyle w:val="CharStyle14"/>
        </w:rPr>
        <w:t>довод жалобы в отношении нарушения Заказчиком указанного постановления не подлежит рассмотрению в рамках данного дела.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извещение об осуществлении закупки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Так,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определено,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7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сопровождение такого указания словами «или эквивалент»;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7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7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7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(часть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Кроме того, в соответствии с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 каталога),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Правила).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Правил заказчики обязаны применять информацию, включенную в позицию каталога в соответствии с подпунктами "б"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"г" и "е"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"з"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февраля </w:t>
      </w:r>
      <w:r>
        <w:rPr>
          <w:rStyle w:val="CharStyle14"/>
          <w:lang w:val="en-US" w:eastAsia="en-US"/>
        </w:rPr>
        <w:t xml:space="preserve">2017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145 </w:t>
      </w:r>
      <w:r>
        <w:rPr>
          <w:rStyle w:val="CharStyle14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наименование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Федерального закона, которые не предусмотрены в позиции каталога.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На основании вышеизложенного, Комиссия Мурманского УФАС России отмечает, что при формировании извещения Заказчик, руководствуясь приведенными нормами, обязан установить код позиции КТРУ, соответствующий закупаемому товару.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Предметом закупки является поставка медицинских изделий: система ультразвуковой визуализации универсальная, с питанием от сети,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Характеристики объекта закупки, включенные Заказчиком в описание объекта закупки, предусмотрены позицией КТРУ </w:t>
      </w:r>
      <w:r>
        <w:rPr>
          <w:rStyle w:val="CharStyle14"/>
          <w:lang w:val="en-US" w:eastAsia="en-US"/>
        </w:rPr>
        <w:t xml:space="preserve">26.60.12.132-00000036 </w:t>
      </w:r>
      <w:r>
        <w:rPr>
          <w:rStyle w:val="CharStyle14"/>
        </w:rPr>
        <w:t>«Система ультразвуковой визуализации универсальная, с питанием от сети».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Описание объекта закупки Заказчиком составлено в соответствии с КТРУ, дополнительные характеристики не использовались, значения характеристик определены исходя из потребности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Изучив извещение о проведении закупки, а также документы и сведения, представленные на заседании Комиссии, Комиссия Мурманского УФАС России приходит к выводу, что вышеуказанные действия Заказчика, в части установления требований к характеристикам товара, не противоречат положениям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3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доводах жалобы Заявитель указывает, что в извещении нет технического задания в Файле, в четком соответствии со структурным вариантом в ЕИС, нарушены правила использования каталога товаров, работ, услуг для обеспечения государственных и муниципальных нужд. Нарушены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Комиссией установлено, что в перечне прикрепленных файлов среди прочих обязательных требований содержится файл с описанием объекта закупки, который соответствует описанию объекта закупки в структурированном виде.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Кроме того, Правилами использования КТРУ не предусмотрено условие о необходимости размещения в составе извещения об осуществлении закупки дополнительных документов, не предусмотренных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составе Извещения содержится электронный файл «Описание объекта закупки», который полностью идентичен описанию объекта закупки в структурированном виде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Довод признается необоснованным.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31" w:val="left"/>
        </w:tabs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Относительно довода заявителя о нарушении в извещении о закупке и в проекте контракта (не указаны контактные данные сотрудников конечного получателя 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функционального заказчика ЛПУ, а также срок действия и окончания контракта) комиссия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>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На основании пункта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Указание в проекте контракта контактных данных сотрудников конечного получателя и функционального заказчика ЛПУ Законом о контрактной системе не предусмотрено.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При этом пунктом </w:t>
      </w:r>
      <w:r>
        <w:rPr>
          <w:rStyle w:val="CharStyle14"/>
          <w:lang w:val="en-US" w:eastAsia="en-US"/>
        </w:rPr>
        <w:t xml:space="preserve">1.3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проекта контракта установлено: «</w:t>
      </w:r>
      <w:r>
        <w:rPr>
          <w:rStyle w:val="CharStyle14"/>
          <w:i/>
          <w:iCs/>
        </w:rPr>
        <w:t xml:space="preserve">Поставка Оборудования осуществляется Поставщиком с разгрузкой транспортного средства по адресу: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Филиал ГОБУЗ «МОКБ им. П.А. Баяндина»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Центральная районная больница ЗАТО г. Североморск, </w:t>
      </w:r>
      <w:r>
        <w:rPr>
          <w:rStyle w:val="CharStyle14"/>
          <w:lang w:val="en-US" w:eastAsia="en-US"/>
        </w:rPr>
        <w:t xml:space="preserve">184606, </w:t>
      </w:r>
      <w:r>
        <w:rPr>
          <w:rStyle w:val="CharStyle14"/>
        </w:rPr>
        <w:t xml:space="preserve">Мурманская область, город Североморск, улица Комсомольская д. </w:t>
      </w:r>
      <w:r>
        <w:rPr>
          <w:rStyle w:val="CharStyle14"/>
          <w:lang w:val="en-US" w:eastAsia="en-US"/>
        </w:rPr>
        <w:t>27/1.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  <w:i/>
          <w:iCs/>
        </w:rPr>
        <w:t>Оказание Услуг осуществляется Поставщиком в Месте доставки.</w:t>
      </w:r>
      <w:r>
        <w:rPr>
          <w:rStyle w:val="CharStyle14"/>
        </w:rPr>
        <w:t>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Таким образом, участники закупки осведомлены о месте поставки и могут рассчитать предположительные расходы, связанные с доставкой закупаемого оборудования.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Также пунктом </w:t>
      </w:r>
      <w:r>
        <w:rPr>
          <w:rStyle w:val="CharStyle14"/>
          <w:lang w:val="en-US" w:eastAsia="en-US"/>
        </w:rPr>
        <w:t xml:space="preserve">5.1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проекта контракта установлено, что: «</w:t>
      </w:r>
      <w:r>
        <w:rPr>
          <w:rStyle w:val="CharStyle14"/>
          <w:i/>
          <w:iCs/>
        </w:rPr>
        <w:t xml:space="preserve">Поставка Оборудования осуществляется Поставщиком в Место доставки на условиях, предусмотренных пунктом </w:t>
      </w:r>
      <w:r>
        <w:rPr>
          <w:rStyle w:val="CharStyle14"/>
          <w:i/>
          <w:iCs/>
          <w:lang w:val="en-US" w:eastAsia="en-US"/>
        </w:rPr>
        <w:t xml:space="preserve">1.3 </w:t>
      </w:r>
      <w:r>
        <w:rPr>
          <w:rStyle w:val="CharStyle14"/>
          <w:i/>
          <w:iCs/>
        </w:rPr>
        <w:t xml:space="preserve">Контракта, </w:t>
      </w:r>
      <w:r>
        <w:rPr>
          <w:rStyle w:val="CharStyle14"/>
          <w:b/>
          <w:bCs/>
          <w:i/>
          <w:iCs/>
        </w:rPr>
        <w:t xml:space="preserve">в течение </w:t>
      </w:r>
      <w:r>
        <w:rPr>
          <w:rStyle w:val="CharStyle14"/>
          <w:b/>
          <w:bCs/>
          <w:i/>
          <w:iCs/>
          <w:lang w:val="en-US" w:eastAsia="en-US"/>
        </w:rPr>
        <w:t xml:space="preserve">90 </w:t>
      </w:r>
      <w:r>
        <w:rPr>
          <w:rStyle w:val="CharStyle14"/>
          <w:b/>
          <w:bCs/>
          <w:i/>
          <w:iCs/>
        </w:rPr>
        <w:t>календарных дней с даты заключения контракта</w:t>
      </w:r>
      <w:r>
        <w:rPr>
          <w:rStyle w:val="CharStyle14"/>
          <w:b/>
          <w:bCs/>
        </w:rPr>
        <w:t>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12.1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проекта контракта установлено, что: «</w:t>
      </w:r>
      <w:r>
        <w:rPr>
          <w:rStyle w:val="CharStyle14"/>
          <w:b/>
          <w:bCs/>
          <w:i/>
          <w:iCs/>
        </w:rPr>
        <w:t xml:space="preserve">Контракт вступает в силу с даты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системе, и действует до </w:t>
      </w:r>
      <w:r>
        <w:rPr>
          <w:rStyle w:val="CharStyle14"/>
          <w:b/>
          <w:bCs/>
          <w:i/>
          <w:iCs/>
          <w:lang w:val="en-US" w:eastAsia="en-US"/>
        </w:rPr>
        <w:t xml:space="preserve">30 </w:t>
      </w:r>
      <w:r>
        <w:rPr>
          <w:rStyle w:val="CharStyle14"/>
          <w:b/>
          <w:bCs/>
          <w:i/>
          <w:iCs/>
        </w:rPr>
        <w:t xml:space="preserve">сентября </w:t>
      </w:r>
      <w:r>
        <w:rPr>
          <w:rStyle w:val="CharStyle14"/>
          <w:b/>
          <w:bCs/>
          <w:i/>
          <w:iCs/>
          <w:lang w:val="en-US" w:eastAsia="en-US"/>
        </w:rPr>
        <w:t xml:space="preserve">2026 </w:t>
      </w:r>
      <w:r>
        <w:rPr>
          <w:rStyle w:val="CharStyle14"/>
          <w:b/>
          <w:bCs/>
          <w:i/>
          <w:iCs/>
        </w:rPr>
        <w:t>года</w:t>
      </w:r>
      <w:r>
        <w:rPr>
          <w:rStyle w:val="CharStyle14"/>
          <w:b/>
          <w:bCs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  <w:i/>
          <w:iCs/>
        </w:rPr>
        <w:t xml:space="preserve">Срок исполнения Контракта установлен до </w:t>
      </w:r>
      <w:r>
        <w:rPr>
          <w:rStyle w:val="CharStyle14"/>
          <w:i/>
          <w:iCs/>
          <w:lang w:val="en-US" w:eastAsia="en-US"/>
        </w:rPr>
        <w:t xml:space="preserve">30 </w:t>
      </w:r>
      <w:r>
        <w:rPr>
          <w:rStyle w:val="CharStyle14"/>
          <w:i/>
          <w:iCs/>
        </w:rPr>
        <w:t xml:space="preserve">сентября </w:t>
      </w:r>
      <w:r>
        <w:rPr>
          <w:rStyle w:val="CharStyle14"/>
          <w:i/>
          <w:iCs/>
          <w:lang w:val="en-US" w:eastAsia="en-US"/>
        </w:rPr>
        <w:t xml:space="preserve">2026 </w:t>
      </w:r>
      <w:r>
        <w:rPr>
          <w:rStyle w:val="CharStyle14"/>
          <w:i/>
          <w:iCs/>
        </w:rPr>
        <w:t>года и включает срок поставки Оборудования и оказания Услуг Поставщиком в полном объеме, срок приемки (с оформлением документа о приемке) и оплаты Заказчиком такого Оборудования</w:t>
      </w:r>
      <w:r>
        <w:rPr>
          <w:rStyle w:val="CharStyle14"/>
        </w:rPr>
        <w:t>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Таким образом, информация о сроке действия контракта содержится в проекте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На основании изложенного, Комиссия Мурманского УФАС России приходит к выводу, что заказчиком не нарушены нормы действующего законодательства, в связи с чем довод Заявителя признается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ИП Кравченко также заявлены доводы о нарушении Федерального закона от </w:t>
      </w:r>
      <w:r>
        <w:rPr>
          <w:rStyle w:val="CharStyle14"/>
          <w:lang w:val="en-US" w:eastAsia="en-US"/>
        </w:rPr>
        <w:t xml:space="preserve">26.07.2006 № </w:t>
      </w:r>
      <w:r>
        <w:rPr>
          <w:rStyle w:val="CharStyle14"/>
        </w:rPr>
        <w:t>135-ФЗ «О защите конкуренции».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Часть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Закона о контрактной системе устанавливает, что 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закупок, предотвращения коррупции и других злоупотреблений в сфере таких закупок, в части, касающейся: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1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планирования закупок товаров, работ, услуг;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14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определения поставщиков (подрядчиков, исполнителей);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14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заключения предусмотренных Законом о контрактной системе контрактов;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14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особенностей исполнения контрактов;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14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мониторинга закупок товаров, работ, услуг;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14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аудита в сфере закупок товаров, работ, услуг;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2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Часть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Закона о защите конкуренции устанавливает, что настоящий закон определяет организационные и правовые основы защиты конкуренции, в том числе предупреждения и пресечения:</w:t>
      </w:r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1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монополистической деятельности и недобросовестной конкуренции;</w:t>
      </w:r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2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недопущения, ограничения, устранения конкуренции федеральными органами исполнительной власти, органами государственной власти субъектов Российской Федерации, органами местного самоуправления, иными осуществляющими функции указанных органов органами или организациями, а также государственными внебюджетными фондами, Центральным банком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Главой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>Закона о защите конкуренции установлены специальные нормы, устанавливающие антимонопольные требования к торгам.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Ввиду указанного антимонопольный орган не осуществляет рассмотрение обращений (заявлений, жалоб) о нарушении антимонопольного законодательства в порядке главы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Закона о контрактной системе, который регламентирует порядок рассмотрения жалоб на нарушение требований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образом, обращения о нарушении антимонопольного законодательства при осуществлении торгов в порядке, предусмотренном законодательством о контрактной системе, подлежат рассмотрению в соответствии с требованиями, установленными статьей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>Закона о защите конкуренции, которая предусматривает специальные сроки рассмотрения обращения и требования к содержанию обращения (заявления).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Порядок подачи заявления о нарушении антимонопольного законодательства и требования к его содержанию, а также порядок рассмотрения заявлений, материалов и возбуждения дел о нарушении антимонопольного законодательства регламентированы статьей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26.07.2006 № </w:t>
      </w:r>
      <w:r>
        <w:rPr>
          <w:rStyle w:val="CharStyle14"/>
        </w:rPr>
        <w:t xml:space="preserve">135-ФЗ «О защите конкуренции»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Закон о защите конкуренции) и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</w:t>
      </w:r>
      <w:r>
        <w:rPr>
          <w:rStyle w:val="CharStyle14"/>
          <w:lang w:val="en-US" w:eastAsia="en-US"/>
        </w:rPr>
        <w:t xml:space="preserve">25.05.2012 № 339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Административный регламент).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 xml:space="preserve">Закона о защите конкуренции и пункта </w:t>
      </w:r>
      <w:r>
        <w:rPr>
          <w:rStyle w:val="CharStyle14"/>
          <w:lang w:val="en-US" w:eastAsia="en-US"/>
        </w:rPr>
        <w:t xml:space="preserve">3.6 </w:t>
      </w:r>
      <w:r>
        <w:rPr>
          <w:rStyle w:val="CharStyle14"/>
        </w:rPr>
        <w:t>Административного регламента заявление должно содержать следующие сведения:</w:t>
      </w:r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сведения о заявителе, в том числе: для физического лица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фамилия, имя, отчество (при наличии), адрес места жительства; для юридического лица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наименование юридического лица, адрес места нахождения;</w:t>
      </w:r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27" w:val="left"/>
        </w:tabs>
        <w:bidi w:val="0"/>
        <w:spacing w:before="0" w:after="60"/>
        <w:ind w:left="0" w:right="0" w:firstLine="740"/>
        <w:jc w:val="both"/>
      </w:pPr>
      <w:r>
        <w:rPr>
          <w:rStyle w:val="CharStyle14"/>
        </w:rPr>
        <w:t>имеющиеся у заявителя сведения о лице, в отношении которого подано заявление;</w:t>
      </w:r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988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описание нарушения антимонопольного законодательства со ссылкой на нормативные правовые акты;</w:t>
      </w:r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27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существо требований, с которыми обращается заявитель;</w:t>
      </w:r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27" w:val="left"/>
        </w:tabs>
        <w:bidi w:val="0"/>
        <w:spacing w:before="0" w:after="60"/>
        <w:ind w:left="0" w:right="0" w:firstLine="740"/>
        <w:jc w:val="both"/>
      </w:pPr>
      <w:r>
        <w:rPr>
          <w:rStyle w:val="CharStyle14"/>
        </w:rPr>
        <w:t>перечень прилагаемых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Также, согласно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 xml:space="preserve">Закона о защите конкуренции и пункта </w:t>
      </w:r>
      <w:r>
        <w:rPr>
          <w:rStyle w:val="CharStyle14"/>
          <w:lang w:val="en-US" w:eastAsia="en-US"/>
        </w:rPr>
        <w:t xml:space="preserve">3.8 </w:t>
      </w:r>
      <w:r>
        <w:rPr>
          <w:rStyle w:val="CharStyle14"/>
        </w:rPr>
        <w:t>Административного регламента, к заявлению необходимо приложить документы, свидетельствующие о признаках нарушения антимонопольного законодательства. В случае невозможности представления документов указывается причина невозможности их представления, а также предполагаемые лицо или орган, у которых документы могут быть получены.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4"/>
        </w:rPr>
        <w:t xml:space="preserve">В случае отсутствия в заявлении или материалах сведений, предусмотренных частями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 xml:space="preserve">Закона о защите конкуренции, пунктами </w:t>
      </w:r>
      <w:r>
        <w:rPr>
          <w:rStyle w:val="CharStyle14"/>
          <w:lang w:val="en-US" w:eastAsia="en-US"/>
        </w:rPr>
        <w:t xml:space="preserve">3.6, 3.7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3.8 </w:t>
      </w:r>
      <w:r>
        <w:rPr>
          <w:rStyle w:val="CharStyle14"/>
        </w:rPr>
        <w:t>Административного регламента антимонопольный орган оставляет заявление или материалы без рассмотрения, о чём уведомляет в письменной форме заявителя в течение десяти рабочих дней со дня их поступления.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  <w:lang w:val="en-US" w:eastAsia="en-US"/>
        </w:rPr>
        <w:t xml:space="preserve">9. </w:t>
      </w:r>
      <w:r>
        <w:rPr>
          <w:rStyle w:val="CharStyle14"/>
          <w:i/>
          <w:iCs/>
        </w:rPr>
        <w:t>По вопросу нарушения сроков и времени окончания подачи заявок относительно размещения Извещения необходимо отметить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 размещается при проведении электронного аукциона </w:t>
      </w:r>
      <w:r>
        <w:rPr>
          <w:rStyle w:val="CharStyle14"/>
          <w:i/>
          <w:iCs/>
        </w:rPr>
        <w:t>не менее чем за семь дней до даты окончания срока подачи заявок</w:t>
      </w:r>
      <w:r>
        <w:rPr>
          <w:rStyle w:val="CharStyle14"/>
        </w:rPr>
        <w:t xml:space="preserve"> на участие в закупке, если начальная (максимальная) цена контракта не превышает триста миллионов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4"/>
        </w:rPr>
        <w:t xml:space="preserve">Извещение о проведении Аукциона размещено в ЕИС </w:t>
      </w:r>
      <w:r>
        <w:rPr>
          <w:rStyle w:val="CharStyle14"/>
          <w:lang w:val="en-US" w:eastAsia="en-US"/>
        </w:rPr>
        <w:t xml:space="preserve">28.04.2026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18:08. </w:t>
      </w:r>
      <w:r>
        <w:rPr>
          <w:rStyle w:val="CharStyle14"/>
        </w:rPr>
        <w:t xml:space="preserve">Окончание срока подачи заявок: </w:t>
      </w:r>
      <w:r>
        <w:rPr>
          <w:rStyle w:val="CharStyle14"/>
          <w:lang w:val="en-US" w:eastAsia="en-US"/>
        </w:rPr>
        <w:t xml:space="preserve">07.05.2026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07:00. </w:t>
      </w:r>
      <w:r>
        <w:rPr>
          <w:rStyle w:val="CharStyle14"/>
        </w:rPr>
        <w:t xml:space="preserve">НМЦК составляет </w:t>
      </w:r>
      <w:r>
        <w:rPr>
          <w:rStyle w:val="CharStyle14"/>
          <w:lang w:val="en-US" w:eastAsia="en-US"/>
        </w:rPr>
        <w:t xml:space="preserve">4 288 833,33 </w:t>
      </w:r>
      <w:r>
        <w:rPr>
          <w:rStyle w:val="CharStyle14"/>
        </w:rPr>
        <w:t>рублей. На основании вышеизложенного, можно сделать вывод о том, что дата и время окончания подачи заявок соответствует установленным требованиям и обеспечивает право участников подать заявки в установленный срок.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14"/>
        </w:rPr>
        <w:t xml:space="preserve">На основании изложенного, Комиссия Мурманского УФАС России, руководствуясь статьями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>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55" w:val="left"/>
        </w:tabs>
        <w:bidi w:val="0"/>
        <w:spacing w:before="0" w:after="180"/>
        <w:ind w:left="0" w:right="0" w:firstLine="740"/>
        <w:jc w:val="both"/>
      </w:pPr>
      <w:r>
        <w:rPr>
          <w:rStyle w:val="CharStyle14"/>
        </w:rPr>
        <w:t xml:space="preserve">Признать жалобу индивидуального предпринимателя Кравченко А.В., на действия Заказчика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Государственного областного бюджетного учреждения здравоохранения «Мурманская областная клиническая больница имени П.А. Баяндина» при проведении электронного аукциона «Поставка медицинских изделий (Система ультразвуковой визуализации универсальная, с питанием от сети)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для нужд филиала ГОБУЗ «МОКБ им. П.А.Баяндина»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ЦРБ ЗАТО г. Североморск» (реестровый номер извещения в ЕИС: </w:t>
      </w:r>
      <w:r>
        <w:fldChar w:fldCharType="begin"/>
      </w:r>
      <w:r>
        <w:rPr/>
        <w:instrText> HYPERLINK "https://zakupki.gov.ru/epz/order/notice/ea20/view/common-info.html?regNumber=0149200002326002171"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0149200002326002171</w:t>
      </w:r>
      <w:r>
        <w:fldChar w:fldCharType="end"/>
      </w:r>
      <w:r>
        <w:rPr>
          <w:rStyle w:val="CharStyle14"/>
          <w:lang w:val="en-US" w:eastAsia="en-US"/>
        </w:rPr>
        <w:t xml:space="preserve">)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2034" w:val="left"/>
        </w:tabs>
        <w:bidi w:val="0"/>
        <w:spacing w:before="0" w:after="280"/>
        <w:ind w:left="1040" w:right="0" w:firstLine="0"/>
        <w:jc w:val="both"/>
      </w:pPr>
      <w:r>
        <w:rPr>
          <w:rStyle w:val="CharStyle14"/>
        </w:rPr>
        <w:t>Направить жалобу ИП Кравченко А.В. в части довода об обжаловании обоснования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Style w:val="CharStyle14"/>
        </w:rPr>
        <w:t>начальной (максимальной) цены контракта в адрес Министерства финансов Мурманской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Решение может быть обжаловано в судебном порядке в течение трёх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7" w:right="815" w:bottom="1429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344805" distL="0" distR="0" simplePos="0" relativeHeight="125829378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317500</wp:posOffset>
                </wp:positionV>
                <wp:extent cx="1569720" cy="21018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399999999999999pt;margin-top:25.pt;width:123.60000000000001pt;height:16.550000000000001pt;z-index:-125829375;mso-wrap-distance-left:0;mso-wrap-distance-top:25.pt;mso-wrap-distance-right:0;mso-wrap-distance-bottom:27.1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344805" distL="0" distR="0" simplePos="0" relativeHeight="125829380" behindDoc="0" locked="0" layoutInCell="1" allowOverlap="1">
                <wp:simplePos x="0" y="0"/>
                <wp:positionH relativeFrom="page">
                  <wp:posOffset>5941695</wp:posOffset>
                </wp:positionH>
                <wp:positionV relativeFrom="paragraph">
                  <wp:posOffset>317500</wp:posOffset>
                </wp:positionV>
                <wp:extent cx="1073150" cy="21018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М.Е. Прохорова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7.85000000000002pt;margin-top:25.pt;width:84.5pt;height:16.550000000000001pt;z-index:-125829373;mso-wrap-distance-left:0;mso-wrap-distance-top:25.pt;mso-wrap-distance-right:0;mso-wrap-distance-bottom:27.1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М.Е. Прохорова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27685" distB="635" distL="0" distR="1816735" simplePos="0" relativeHeight="125829382" behindDoc="0" locked="0" layoutInCell="1" allowOverlap="1">
            <wp:simplePos x="0" y="0"/>
            <wp:positionH relativeFrom="page">
              <wp:posOffset>2878455</wp:posOffset>
            </wp:positionH>
            <wp:positionV relativeFrom="paragraph">
              <wp:posOffset>527685</wp:posOffset>
            </wp:positionV>
            <wp:extent cx="298450" cy="34734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3268345</wp:posOffset>
                </wp:positionH>
                <wp:positionV relativeFrom="paragraph">
                  <wp:posOffset>588645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7.35000000000002pt;margin-top:46.35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0"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Прохорова Маргарита Евгеньевна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0"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25355D0E55E6E68040CFFB97835A66F3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3400" w:right="0" w:firstLine="0"/>
        <w:jc w:val="left"/>
      </w:pPr>
      <w:r>
        <w:rPr>
          <w:rStyle w:val="CharStyle28"/>
        </w:rPr>
        <w:t xml:space="preserve">Действителен с 29.01.2026 </w:t>
      </w:r>
      <w:r>
        <w:rPr>
          <w:rStyle w:val="CharStyle28"/>
          <w:color w:val="5A5A5A"/>
        </w:rPr>
        <w:t xml:space="preserve">по </w:t>
      </w:r>
      <w:r>
        <w:rPr>
          <w:rStyle w:val="CharStyle28"/>
        </w:rPr>
        <w:t>24.04.2027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А.А. Конох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834" w:bottom="1347" w:left="1107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786255" simplePos="0" relativeHeight="125829383" behindDoc="0" locked="0" layoutInCell="1" allowOverlap="1">
            <wp:simplePos x="0" y="0"/>
            <wp:positionH relativeFrom="page">
              <wp:posOffset>2814320</wp:posOffset>
            </wp:positionH>
            <wp:positionV relativeFrom="paragraph">
              <wp:posOffset>0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3274695</wp:posOffset>
                </wp:positionH>
                <wp:positionV relativeFrom="paragraph">
                  <wp:posOffset>405130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7.85000000000002pt;margin-top:31.900000000000002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3234690</wp:posOffset>
                </wp:positionH>
                <wp:positionV relativeFrom="paragraph">
                  <wp:posOffset>88265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4.70000000000002pt;margin-top:6.9500000000000002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Конох Анна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00EF5DE6AB77D56E449D807E3DF8B478A</w:t>
      </w:r>
      <w:r>
        <w:rPr>
          <w:rStyle w:val="CharStyle28"/>
          <w:lang w:val="en-US" w:eastAsia="en-US"/>
        </w:rPr>
        <w:t>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rStyle w:val="CharStyle28"/>
        </w:rPr>
        <w:t xml:space="preserve">Действителен с 19.01.2026 </w:t>
      </w:r>
      <w:r>
        <w:rPr>
          <w:rStyle w:val="CharStyle28"/>
          <w:color w:val="5A5A5A"/>
        </w:rPr>
        <w:t xml:space="preserve">по </w:t>
      </w:r>
      <w:r>
        <w:rPr>
          <w:rStyle w:val="CharStyle28"/>
        </w:rPr>
        <w:t>14.04.2027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2759710</wp:posOffset>
            </wp:positionH>
            <wp:positionV relativeFrom="paragraph">
              <wp:posOffset>177800</wp:posOffset>
            </wp:positionV>
            <wp:extent cx="389890" cy="5549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3256280</wp:posOffset>
                </wp:positionH>
                <wp:positionV relativeFrom="paragraph">
                  <wp:posOffset>616585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6.39999999999998pt;margin-top:48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3213735</wp:posOffset>
                </wp:positionH>
                <wp:positionV relativeFrom="paragraph">
                  <wp:posOffset>299720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3.05000000000001pt;margin-top:23.6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А.С. Цветкова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Цветкова Анна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00ED17EA5E76EC688FDB4E2D057C4D1</w:t>
      </w:r>
      <w:r>
        <w:rPr>
          <w:rStyle w:val="CharStyle28"/>
          <w:color w:val="292929"/>
        </w:rPr>
        <w:t>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240" w:line="240" w:lineRule="auto"/>
        <w:ind w:right="0" w:firstLine="0"/>
        <w:jc w:val="left"/>
      </w:pPr>
      <w:r>
        <w:rPr>
          <w:rStyle w:val="CharStyle28"/>
        </w:rPr>
        <w:t>Действителен с 26.01</w:t>
      </w:r>
      <w:r>
        <w:rPr>
          <w:rStyle w:val="CharStyle28"/>
          <w:color w:val="5A5A5A"/>
        </w:rPr>
        <w:t>.2026 по 21</w:t>
      </w:r>
      <w:r>
        <w:rPr>
          <w:rStyle w:val="CharStyle28"/>
        </w:rPr>
        <w:t>.04.2027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4"/>
          <w:sz w:val="22"/>
          <w:szCs w:val="22"/>
        </w:rPr>
        <w:t>Исп.Конох А.А.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4"/>
          <w:sz w:val="22"/>
          <w:szCs w:val="22"/>
        </w:rPr>
        <w:t>тел.8(8152) 68-50-55 вн.051-112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834" w:bottom="1345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9848850</wp:posOffset>
              </wp:positionV>
              <wp:extent cx="65532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2026-2632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00000000000001pt;margin-top:775.5pt;width:51.60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2026-2632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10037445</wp:posOffset>
              </wp:positionV>
              <wp:extent cx="65532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2026-2632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90.35000000000002pt;width:51.6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2026-2632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2">
    <w:multiLevelType w:val="multilevel"/>
    <w:lvl w:ilvl="0">
      <w:start w:val="7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30" w:line="29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3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