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821" w:h="2695" w:wrap="none" w:hAnchor="page" w:x="1302" w:y="1122"/>
        <w:widowControl w:val="0"/>
        <w:shd w:val="clear" w:color="auto" w:fill="auto"/>
        <w:bidi w:val="0"/>
        <w:spacing w:before="0" w:line="293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framePr w:w="3821" w:h="2695" w:wrap="none" w:hAnchor="page" w:x="1302" w:y="1122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  <w:br/>
        <w:t>Федеральной антимонопольной службы</w:t>
        <w:br/>
        <w:t>по Томской области</w:t>
      </w:r>
    </w:p>
    <w:p>
      <w:pPr>
        <w:pStyle w:val="Style2"/>
        <w:keepNext w:val="0"/>
        <w:keepLines w:val="0"/>
        <w:framePr w:w="3821" w:h="2695" w:wrap="none" w:hAnchor="page" w:x="1302" w:y="1122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3"/>
        </w:rPr>
        <w:t>Адрес места нахождения: г.Томск, пр-кт. Ленина, 111</w:t>
        <w:br/>
        <w:t>Почтовый адрес: 634069, г.Томск, пр-кт. Ленина, 111</w:t>
        <w:br/>
        <w:t>тел. (3822) 51-50-61, факс (3822) 51-29-80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"mailto:to70@fas.gov.ru" </w:instrText>
      </w:r>
      <w:r>
        <w:fldChar w:fldCharType="separate"/>
      </w:r>
      <w:r>
        <w:rPr>
          <w:rStyle w:val="CharStyle3"/>
          <w:lang w:val="en-US" w:eastAsia="en-US"/>
        </w:rPr>
        <w:t>to70@fas.gov.ru</w:t>
      </w:r>
      <w:r>
        <w:fldChar w:fldCharType="end"/>
      </w:r>
    </w:p>
    <w:p>
      <w:pPr>
        <w:pStyle w:val="Style7"/>
        <w:keepNext w:val="0"/>
        <w:keepLines w:val="0"/>
        <w:framePr w:w="3821" w:h="2695" w:wrap="none" w:hAnchor="page" w:x="1302" w:y="1122"/>
        <w:widowControl w:val="0"/>
        <w:shd w:val="clear" w:color="auto" w:fill="auto"/>
        <w:tabs>
          <w:tab w:pos="1834" w:val="left"/>
        </w:tabs>
        <w:bidi w:val="0"/>
        <w:spacing w:before="0"/>
        <w:ind w:right="0"/>
        <w:jc w:val="left"/>
        <w:rPr>
          <w:sz w:val="8"/>
          <w:szCs w:val="8"/>
        </w:rPr>
      </w:pPr>
      <w:r>
        <w:rPr>
          <w:rStyle w:val="CharStyle8"/>
          <w:b/>
          <w:bCs/>
        </w:rPr>
        <w:t>штамп регистрации</w:t>
        <w:tab/>
      </w:r>
      <w:r>
        <w:rPr>
          <w:rStyle w:val="CharStyle8"/>
          <w:smallCaps/>
          <w:color w:val="4061A9"/>
          <w:sz w:val="8"/>
          <w:szCs w:val="8"/>
        </w:rPr>
        <w:t>аг</w:t>
      </w:r>
    </w:p>
    <w:p>
      <w:pPr>
        <w:pStyle w:val="Style2"/>
        <w:keepNext w:val="0"/>
        <w:keepLines w:val="0"/>
        <w:framePr w:w="4066" w:h="235" w:wrap="none" w:hAnchor="page" w:x="1139" w:y="41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Style w:val="CharStyle3"/>
          <w:sz w:val="15"/>
          <w:szCs w:val="15"/>
        </w:rPr>
        <w:t xml:space="preserve">На№  ОТ</w:t>
      </w:r>
    </w:p>
    <w:p>
      <w:pPr>
        <w:pStyle w:val="Style11"/>
        <w:keepNext w:val="0"/>
        <w:keepLines w:val="0"/>
        <w:framePr w:w="986" w:h="310" w:wrap="none" w:hAnchor="page" w:x="1161" w:y="49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Решение</w:t>
      </w:r>
    </w:p>
    <w:p>
      <w:pPr>
        <w:pStyle w:val="Style11"/>
        <w:keepNext w:val="0"/>
        <w:keepLines w:val="0"/>
        <w:framePr w:w="2820" w:h="329" w:wrap="none" w:hAnchor="page" w:x="2406" w:y="49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по делу №070/06/105-</w:t>
      </w:r>
    </w:p>
    <w:p>
      <w:pPr>
        <w:pStyle w:val="Style11"/>
        <w:keepNext w:val="0"/>
        <w:keepLines w:val="0"/>
        <w:framePr w:w="950" w:h="295" w:wrap="none" w:hAnchor="page" w:x="1211" w:y="5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409/2026</w:t>
      </w:r>
    </w:p>
    <w:p>
      <w:pPr>
        <w:pStyle w:val="Style13"/>
        <w:keepNext w:val="0"/>
        <w:keepLines w:val="0"/>
        <w:framePr w:w="4699" w:h="7450" w:wrap="none" w:hAnchor="page" w:x="6405" w:y="889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rStyle w:val="CharStyle14"/>
        </w:rPr>
        <w:t xml:space="preserve">ОБЩЕСТВО С ОГРАНИЧЕННОЙ ОТВЕТСТВЕННОСТЬЮ "СКАР" 625022, ТЮМЕНСКАЯ ОБЛАСТЬ, Г. ТЮМЕНЬ, УЛ. Ю.-Р.Г.ЭРВЬЕ, Д. 26, КВ. 123 </w:t>
      </w:r>
      <w:r>
        <w:fldChar w:fldCharType="begin"/>
      </w:r>
      <w:r>
        <w:rPr/>
        <w:instrText> HYPERLINK "mailto:oooscar@inbox.ru" </w:instrText>
      </w:r>
      <w:r>
        <w:fldChar w:fldCharType="separate"/>
      </w:r>
      <w:r>
        <w:rPr>
          <w:rStyle w:val="CharStyle14"/>
          <w:lang w:val="en-US" w:eastAsia="en-US"/>
        </w:rPr>
        <w:t>oooscar@inbox.ru</w:t>
      </w:r>
      <w:r>
        <w:fldChar w:fldCharType="end"/>
      </w:r>
    </w:p>
    <w:p>
      <w:pPr>
        <w:pStyle w:val="Style13"/>
        <w:keepNext w:val="0"/>
        <w:keepLines w:val="0"/>
        <w:framePr w:w="4699" w:h="7450" w:wrap="none" w:hAnchor="page" w:x="6405" w:y="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ОГБУЗ "ГКБ № 1"</w:t>
      </w:r>
    </w:p>
    <w:p>
      <w:pPr>
        <w:pStyle w:val="Style13"/>
        <w:keepNext w:val="0"/>
        <w:keepLines w:val="0"/>
        <w:framePr w:w="4699" w:h="7450" w:wrap="none" w:hAnchor="page" w:x="6405" w:y="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634040, Томская область, г. Томск, ул. Бела Куна, дом 3</w:t>
      </w:r>
    </w:p>
    <w:p>
      <w:pPr>
        <w:pStyle w:val="Style13"/>
        <w:keepNext w:val="0"/>
        <w:keepLines w:val="0"/>
        <w:framePr w:w="4699" w:h="7450" w:wrap="none" w:hAnchor="page" w:x="6405" w:y="889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fldChar w:fldCharType="begin"/>
      </w:r>
      <w:r>
        <w:rPr/>
        <w:instrText> HYPERLINK "mailto:A.A.Kononova@yandex.ru" </w:instrText>
      </w:r>
      <w:r>
        <w:fldChar w:fldCharType="separate"/>
      </w:r>
      <w:r>
        <w:rPr>
          <w:rStyle w:val="CharStyle14"/>
          <w:lang w:val="en-US" w:eastAsia="en-US"/>
        </w:rPr>
        <w:t>A.A.Kononova@yandex.ru</w:t>
      </w:r>
      <w:r>
        <w:fldChar w:fldCharType="end"/>
      </w:r>
    </w:p>
    <w:p>
      <w:pPr>
        <w:pStyle w:val="Style13"/>
        <w:keepNext w:val="0"/>
        <w:keepLines w:val="0"/>
        <w:framePr w:w="4699" w:h="7450" w:wrap="none" w:hAnchor="page" w:x="6405" w:y="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ОГКУ "Центр государственных закупок" Томской области</w:t>
      </w:r>
    </w:p>
    <w:p>
      <w:pPr>
        <w:pStyle w:val="Style13"/>
        <w:keepNext w:val="0"/>
        <w:keepLines w:val="0"/>
        <w:framePr w:w="4699" w:h="7450" w:wrap="none" w:hAnchor="page" w:x="6405" w:y="889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rStyle w:val="CharStyle14"/>
        </w:rPr>
        <w:t xml:space="preserve">634034, Томская область, г. Томск, ул. Нахимова, д 8 </w:t>
      </w:r>
      <w:r>
        <w:fldChar w:fldCharType="begin"/>
      </w:r>
      <w:r>
        <w:rPr/>
        <w:instrText> HYPERLINK "mailto:centrgz@cgz.tomsk.gov.ru" </w:instrText>
      </w:r>
      <w:r>
        <w:fldChar w:fldCharType="separate"/>
      </w:r>
      <w:r>
        <w:rPr>
          <w:rStyle w:val="CharStyle14"/>
          <w:lang w:val="en-US" w:eastAsia="en-US"/>
        </w:rPr>
        <w:t>centrgz@cgz.tomsk.gov.ru</w:t>
      </w:r>
      <w:r>
        <w:fldChar w:fldCharType="end"/>
      </w:r>
    </w:p>
    <w:p>
      <w:pPr>
        <w:pStyle w:val="Style13"/>
        <w:keepNext w:val="0"/>
        <w:keepLines w:val="0"/>
        <w:framePr w:w="4699" w:h="7450" w:wrap="none" w:hAnchor="page" w:x="6405" w:y="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ООО "РТС-тендер"</w:t>
      </w:r>
    </w:p>
    <w:p>
      <w:pPr>
        <w:pStyle w:val="Style13"/>
        <w:keepNext w:val="0"/>
        <w:keepLines w:val="0"/>
        <w:framePr w:w="4699" w:h="7450" w:wrap="none" w:hAnchor="page" w:x="6405" w:y="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121151, г. Москва, наб. Тараса</w:t>
      </w:r>
    </w:p>
    <w:p>
      <w:pPr>
        <w:pStyle w:val="Style13"/>
        <w:keepNext w:val="0"/>
        <w:keepLines w:val="0"/>
        <w:framePr w:w="4699" w:h="7450" w:wrap="none" w:hAnchor="page" w:x="6405" w:y="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Шевченко, д. 23А, 25 этаж, помещение 1</w:t>
      </w:r>
    </w:p>
    <w:p>
      <w:pPr>
        <w:pStyle w:val="Style13"/>
        <w:keepNext w:val="0"/>
        <w:keepLines w:val="0"/>
        <w:framePr w:w="4699" w:h="7450" w:wrap="none" w:hAnchor="page" w:x="6405" w:y="889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4"/>
          <w:lang w:val="en-US" w:eastAsia="en-US"/>
        </w:rPr>
        <w:t>ko@rts-tender.ru</w:t>
      </w:r>
      <w:r>
        <w:fldChar w:fldCharType="end"/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1783715</wp:posOffset>
            </wp:positionH>
            <wp:positionV relativeFrom="margin">
              <wp:posOffset>0</wp:posOffset>
            </wp:positionV>
            <wp:extent cx="51816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816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17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even" r:id="rId9"/>
          <w:footerReference w:type="even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89" w:right="571" w:bottom="1221" w:left="1023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19" w:right="0" w:bottom="134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</w:rPr>
        <w:t>РЕШЕНИЕ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</w:rPr>
        <w:t>по делу №070/06/105-409/2026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4"/>
        </w:rPr>
        <w:t>по результатам рассмотрения жалобы о нарушении</w:t>
        <w:br/>
        <w:t>законодательства Российской Федерации</w:t>
        <w:br/>
        <w:t>о контрактной системе в сфере закупок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6544310</wp:posOffset>
                </wp:positionH>
                <wp:positionV relativeFrom="paragraph">
                  <wp:posOffset>12700</wp:posOffset>
                </wp:positionV>
                <wp:extent cx="631190" cy="216535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119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г. Томск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15.29999999999995pt;margin-top:1.pt;width:49.700000000000003pt;height:17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г. Томск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</w:rPr>
        <w:t>14.05.2026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left"/>
      </w:pPr>
      <w:r>
        <w:rPr>
          <w:rStyle w:val="CharStyle14"/>
        </w:rPr>
        <w:t>Комиссия Управления Федеральной антимонопольной службы по Томской области по контролю законодательства о контрактной системе в сфере закупок, рассмотрению информации о включении в реестр недобросовестных поставщиков (далее – Комиссия Томского УФАС России, Комиссия) в составе: председателя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125" w:val="left"/>
        </w:tabs>
        <w:bidi w:val="0"/>
        <w:spacing w:before="0" w:after="320" w:line="240" w:lineRule="auto"/>
        <w:ind w:left="0" w:right="0" w:firstLine="72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701675</wp:posOffset>
                </wp:positionH>
                <wp:positionV relativeFrom="paragraph">
                  <wp:posOffset>228600</wp:posOffset>
                </wp:positionV>
                <wp:extent cx="1365250" cy="420370"/>
                <wp:wrapSquare wrapText="righ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65250" cy="4203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4"/>
                              </w:rPr>
                              <w:t>членов комиссии:</w:t>
                              <w:br/>
                              <w:t>Б.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5.25pt;margin-top:18.pt;width:107.5pt;height:33.10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4"/>
                        </w:rPr>
                        <w:t>членов комиссии:</w:t>
                        <w:br/>
                        <w:t>Б.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4"/>
        </w:rPr>
        <w:t>С.</w:t>
        <w:tab/>
        <w:t>- заместителя руководителя Управления;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720" w:right="0" w:firstLine="60"/>
        <w:jc w:val="left"/>
      </w:pPr>
      <w:r>
        <w:rPr>
          <w:rStyle w:val="CharStyle14"/>
        </w:rPr>
        <w:t>- ведущего специалиста-эксперта отдела контроля органов власти и торгов;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9"/>
        </w:rPr>
        <w:t>IIIIIIIIIIIIIIIIIIIIIIII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60" w:right="0" w:hanging="1680"/>
        <w:jc w:val="both"/>
      </w:pPr>
      <w:r>
        <w:rPr>
          <w:rStyle w:val="CharStyle14"/>
        </w:rPr>
        <w:t xml:space="preserve">С.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специалиста-эксперта отдела контроля органов власти и торгов,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рассмотрев жалобу ООО «СКАР»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Заявитель) (вх. </w:t>
      </w:r>
      <w:r>
        <w:rPr>
          <w:rStyle w:val="CharStyle14"/>
          <w:lang w:val="en-US" w:eastAsia="en-US"/>
        </w:rPr>
        <w:t xml:space="preserve">№3717/26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08.05.2026) </w:t>
      </w:r>
      <w:r>
        <w:rPr>
          <w:rStyle w:val="CharStyle14"/>
        </w:rPr>
        <w:t xml:space="preserve">на действия Заказчика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ОГБУЗ "ГКБ </w:t>
      </w:r>
      <w:r>
        <w:rPr>
          <w:rStyle w:val="CharStyle14"/>
          <w:lang w:val="en-US" w:eastAsia="en-US"/>
        </w:rPr>
        <w:t xml:space="preserve">№ 1" </w:t>
      </w:r>
      <w:r>
        <w:rPr>
          <w:rStyle w:val="CharStyle14"/>
        </w:rPr>
        <w:t xml:space="preserve">при проведении электронного аукциона «Поставка медицинского изделия (Система рентгеновская диагностическая стационарная общего назначения, цифровая), ввод в эксплуатацию медицинского изделия, обучение правилам эксплуатации специалистов, эксплуатирующих медицинское изделие» (извещение </w:t>
      </w:r>
      <w:r>
        <w:rPr>
          <w:rStyle w:val="CharStyle14"/>
          <w:lang w:val="en-US" w:eastAsia="en-US"/>
        </w:rPr>
        <w:t>№0865200000326000560) 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rStyle w:val="CharStyle14"/>
        </w:rPr>
        <w:t xml:space="preserve">при участии посредством ВКС представителя Заказчика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П. (доверенность </w:t>
      </w:r>
      <w:r>
        <w:rPr>
          <w:rStyle w:val="CharStyle14"/>
          <w:lang w:val="en-US" w:eastAsia="en-US"/>
        </w:rPr>
        <w:t xml:space="preserve">№50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29.10.2025), </w:t>
      </w:r>
      <w:r>
        <w:rPr>
          <w:rStyle w:val="CharStyle14"/>
        </w:rPr>
        <w:t xml:space="preserve">Ш. (доверенность </w:t>
      </w:r>
      <w:r>
        <w:rPr>
          <w:rStyle w:val="CharStyle14"/>
          <w:lang w:val="en-US" w:eastAsia="en-US"/>
        </w:rPr>
        <w:t xml:space="preserve">№25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13.05.2026), </w:t>
      </w:r>
      <w:r>
        <w:rPr>
          <w:rStyle w:val="CharStyle14"/>
        </w:rPr>
        <w:t xml:space="preserve">при участии посредством ВКС представителя Уполномоченного органа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В. (доверенность </w:t>
      </w:r>
      <w:r>
        <w:rPr>
          <w:rStyle w:val="CharStyle14"/>
          <w:lang w:val="en-US" w:eastAsia="en-US"/>
        </w:rPr>
        <w:t xml:space="preserve">№12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26.12.2025), </w:t>
      </w:r>
      <w:r>
        <w:rPr>
          <w:rStyle w:val="CharStyle14"/>
        </w:rPr>
        <w:t xml:space="preserve">А. (доверенность </w:t>
      </w:r>
      <w:r>
        <w:rPr>
          <w:rStyle w:val="CharStyle14"/>
          <w:lang w:val="en-US" w:eastAsia="en-US"/>
        </w:rPr>
        <w:t xml:space="preserve">№4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26.12.2025), </w:t>
      </w:r>
      <w:r>
        <w:rPr>
          <w:rStyle w:val="CharStyle14"/>
        </w:rPr>
        <w:t xml:space="preserve">при участии посредством ВКС представителя Заявителя </w:t>
      </w:r>
      <w:r>
        <w:rPr>
          <w:rStyle w:val="CharStyle14"/>
          <w:lang w:val="en-US" w:eastAsia="en-US"/>
        </w:rPr>
        <w:t xml:space="preserve">— </w:t>
      </w:r>
      <w:r>
        <w:rPr>
          <w:rStyle w:val="CharStyle14"/>
        </w:rPr>
        <w:t xml:space="preserve">И. (доверенность б/н от </w:t>
      </w:r>
      <w:r>
        <w:rPr>
          <w:rStyle w:val="CharStyle14"/>
          <w:lang w:val="en-US" w:eastAsia="en-US"/>
        </w:rPr>
        <w:t>13.05.2026),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4"/>
        </w:rPr>
        <w:t>УСТАНОВИЛА: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Томское УФАС России обратился Заявитель с жалобой, поданной в срок и соответствующей статье </w:t>
      </w:r>
      <w:r>
        <w:rPr>
          <w:rStyle w:val="CharStyle14"/>
          <w:lang w:val="en-US" w:eastAsia="en-US"/>
        </w:rPr>
        <w:t xml:space="preserve">105 </w:t>
      </w:r>
      <w:r>
        <w:rPr>
          <w:rStyle w:val="CharStyle14"/>
        </w:rPr>
        <w:t xml:space="preserve">Закона о контрактной системе на действия Заказчика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ОГБУЗ "ГКБ </w:t>
      </w:r>
      <w:r>
        <w:rPr>
          <w:rStyle w:val="CharStyle14"/>
          <w:lang w:val="en-US" w:eastAsia="en-US"/>
        </w:rPr>
        <w:t xml:space="preserve">№ 1" </w:t>
      </w:r>
      <w:r>
        <w:rPr>
          <w:rStyle w:val="CharStyle14"/>
        </w:rPr>
        <w:t xml:space="preserve">при проведении электронного аукциона «Поставка медицинского изделия (Система рентгеновская диагностическая стационарная общего назначения, цифровая), ввод в эксплуатацию медицинского изделия, обучение правилам эксплуатации специалистов, эксплуатирующих медицинское изделие» (извещение </w:t>
      </w:r>
      <w:r>
        <w:rPr>
          <w:rStyle w:val="CharStyle14"/>
          <w:lang w:val="en-US" w:eastAsia="en-US"/>
        </w:rPr>
        <w:t xml:space="preserve">№0865200000326000560), </w:t>
      </w:r>
      <w:r>
        <w:rPr>
          <w:rStyle w:val="CharStyle14"/>
        </w:rPr>
        <w:t>нарушающие, по мнению Заявителя, законодательство 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Исходя из доводов жалобы Заявителя, Заказчиком описание объекта закупки осуществлено не в соответствии с КТРУ, описанию объекта закупки соответствует товар единственного производителя.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Заказчик не согласен с доводами жалобы, просит признать жалобу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результате рассмотрения жалобы и осуществления в соответствии с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99 </w:t>
      </w:r>
      <w:r>
        <w:rPr>
          <w:rStyle w:val="CharStyle14"/>
        </w:rPr>
        <w:t>Закона о контрактной системе внеплановой проверки, Комиссия Томского УФАС России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Извещение </w:t>
      </w:r>
      <w:r>
        <w:rPr>
          <w:rStyle w:val="CharStyle14"/>
          <w:lang w:val="en-US" w:eastAsia="en-US"/>
        </w:rPr>
        <w:t xml:space="preserve">№0865200000326000560 </w:t>
      </w:r>
      <w:r>
        <w:rPr>
          <w:rStyle w:val="CharStyle14"/>
        </w:rPr>
        <w:t xml:space="preserve">о проведении закупки размещено на Официальном сайте единой информационной системы в сфере закупок в информационно-телекоммуникационной сети Интернет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Официальный сайт, ЕИС) </w:t>
      </w:r>
      <w:r>
        <w:rPr>
          <w:rStyle w:val="CharStyle14"/>
          <w:lang w:val="en-US" w:eastAsia="en-US"/>
        </w:rPr>
        <w:t xml:space="preserve">29.04.2026 </w:t>
      </w:r>
      <w:r>
        <w:rPr>
          <w:rStyle w:val="CharStyle14"/>
        </w:rPr>
        <w:t>года.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Начальная (максимальная) цена контракта </w:t>
      </w:r>
      <w:r>
        <w:rPr>
          <w:rStyle w:val="CharStyle14"/>
          <w:lang w:val="en-US" w:eastAsia="en-US"/>
        </w:rPr>
        <w:t xml:space="preserve">- 14 000 000,00 </w:t>
      </w:r>
      <w:r>
        <w:rPr>
          <w:rStyle w:val="CharStyle14"/>
        </w:rPr>
        <w:t>руб.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Предмет закупки: Поставка медицинского изделия (Система рентгеновская диагностическая стационарная общего назначения, цифровая), ввод в эксплуатацию медицинского изделия, обучение правилам эксплуатации специалистов, эксплуатирующих медицинское изделие.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19" w:right="542" w:bottom="1345" w:left="1052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 xml:space="preserve">На участие в аукционе подана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заявки (из них соответствует требованиям: </w:t>
      </w:r>
      <w:r>
        <w:rPr>
          <w:rStyle w:val="CharStyle14"/>
          <w:lang w:val="en-US" w:eastAsia="en-US"/>
        </w:rPr>
        <w:t>1;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отклонено: </w:t>
      </w:r>
      <w:r>
        <w:rPr>
          <w:rStyle w:val="CharStyle14"/>
          <w:lang w:val="en-US" w:eastAsia="en-US"/>
        </w:rPr>
        <w:t>1) 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На момент рассмотрения жалобы контракт не заключен.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силу ч.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105 </w:t>
      </w:r>
      <w:r>
        <w:rPr>
          <w:rStyle w:val="CharStyle14"/>
        </w:rPr>
        <w:t xml:space="preserve">Закона о контрактной системе при проведении конкурентных способов, при осуществлении закупки товара у единственного поставщика в электронной форме на сумму, предусмотренную частью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93 </w:t>
      </w:r>
      <w:r>
        <w:rPr>
          <w:rStyle w:val="CharStyle14"/>
        </w:rPr>
        <w:t>настоящего Федерального закона,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субъекта (субъектов) контроля, если такие действия (бездействие) нарушают права и законные интересы участника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При этом обжалование действий (бездействия) субъекта (субъектов) контроля в порядке, установленном настоящей главой, не является препятствием для обжалования таких действий (бездействия) в судебном порядке. Таким образом, право подачи жалобы в контрольный орган в сфере закупок в порядке, установленном главой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>Закона, предоставлено участнику закупки при условии, если обжалуемые действия (бездействие) субъекта контроля нарушают права и законные интересы такого участника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пункту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 xml:space="preserve">Закона о контрактной системе, извещение об осуществлении закупки, если иное не предусмотрено настоящим Федеральным законом, должно содержать электронный документ, содержащий описание объекта закупки в соответствии со статьей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Федерального 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Правила описания объекта закупки определены в статье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системе, а также подзаконными актами, разработанными в целях реализации данной нормы.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 установлено, что 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силу подпункта «б»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 допускается использование в описании объекта закупки указания на товарный знак в случае несовместимости товаров, на которые размещаются другие товарные знаки, и необходимость обеспечения взаимодействия таких товаров с товарами, используемыми заказчиком.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7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695" w:right="535" w:bottom="788" w:left="1103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 xml:space="preserve">Из содержания пункта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о контрактной системе следует, что Заказчики должны использовать при составлении описания объекта закупки показатели, требования, условные обозначения и терминологию, </w:t>
      </w:r>
      <w:r>
        <w:rPr>
          <w:rStyle w:val="CharStyle14"/>
          <w:sz w:val="24"/>
          <w:szCs w:val="24"/>
          <w:lang w:val="en-US" w:eastAsia="en-US"/>
        </w:rPr>
        <w:t>2026-3336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В соответствии с частью </w:t>
      </w:r>
      <w:r>
        <w:rPr>
          <w:rStyle w:val="CharStyle14"/>
          <w:lang w:val="en-US" w:eastAsia="en-US"/>
        </w:rPr>
        <w:t xml:space="preserve">1.1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 при описании являющегося объектом закупки товара, в отношении которого Правительством Российской Федерации установлены запрет, ограничение или преимущество, указываются характеристики товара российского происхождения.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Частью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о контрактной системе предусмотрено, что описание объекта закупки в соответствии с требованиями, указанными в 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данной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Исходя из толкования положений 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системе, при описании объекта закупки (формировании технического задания) Заказчику в рамках закона предоставлены полномочия по самостоятельному определению параметров и характеристик товара, в наибольшей степени удовлетворяющих его потребности. Заказчик вправе в необходимой степени детализировать требования к товару, работе, услуге.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При этом, объект закупки должен быть сформирован таким образом, чтобы совокупности характеристик товаров соответствовало несколько производителей, в том числе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товар российского происхождения (при применении национального режима), при этом товар отвечал требованиям извещения об осуществлении закупки, иное не будет отвечать совокупности требований 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Указанная позиция изложена в письме ФАС России от </w:t>
      </w:r>
      <w:r>
        <w:rPr>
          <w:rStyle w:val="CharStyle14"/>
          <w:lang w:val="en-US" w:eastAsia="en-US"/>
        </w:rPr>
        <w:t>21.03.2025 №28/26176/25.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695" w:right="540" w:bottom="1268" w:left="1098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 xml:space="preserve">Исходя из требований пункта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размещает в единой информационной системе извещение об осуществлении закупки, содержащее, в том числе, следующую информацию: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23 </w:t>
      </w:r>
      <w:r>
        <w:rPr>
          <w:rStyle w:val="CharStyle14"/>
        </w:rPr>
        <w:t>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В соответствии с частью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23 </w:t>
      </w:r>
      <w:r>
        <w:rPr>
          <w:rStyle w:val="CharStyle14"/>
        </w:rPr>
        <w:t>Закона о контрактной системе,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Согласно части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23 </w:t>
      </w:r>
      <w:r>
        <w:rPr>
          <w:rStyle w:val="CharStyle14"/>
        </w:rPr>
        <w:t>Закона о контрактной системе,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Правила формирования) и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Правила использования) утверждены постановлением Правительства РФ от </w:t>
      </w:r>
      <w:r>
        <w:rPr>
          <w:rStyle w:val="CharStyle14"/>
          <w:lang w:val="en-US" w:eastAsia="en-US"/>
        </w:rPr>
        <w:t>08.02.2017 №145.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Пункт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Правил закрепляет, что заказчики обязаны применять информацию, включенную в позицию каталога в соответствии с подпунктами «б»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«и» пункта </w:t>
      </w:r>
      <w:r>
        <w:rPr>
          <w:rStyle w:val="CharStyle14"/>
          <w:lang w:val="en-US" w:eastAsia="en-US"/>
        </w:rPr>
        <w:t xml:space="preserve">10 </w:t>
      </w:r>
      <w:r>
        <w:rPr>
          <w:rStyle w:val="CharStyle14"/>
        </w:rPr>
        <w:t xml:space="preserve">Правил, утвержденных постановлением Правительства Российской Федерации от </w:t>
      </w:r>
      <w:r>
        <w:rPr>
          <w:rStyle w:val="CharStyle14"/>
          <w:lang w:val="en-US" w:eastAsia="en-US"/>
        </w:rPr>
        <w:t xml:space="preserve">08.02.2017 №145, </w:t>
      </w:r>
      <w:r>
        <w:rPr>
          <w:rStyle w:val="CharStyle14"/>
        </w:rPr>
        <w:t>с указанной в ней даты начала обязательного применения. При этом заказчик обязан при планировании закупки и ее осуществлении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наименование товара, работы, услуги;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описание товара, работы, услуги (при наличии такого описания в позиции).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695" w:right="540" w:bottom="836" w:left="1098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Правил использования КТРУ в том числе определено, что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ст.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о контрактной системе, которые </w:t>
      </w:r>
      <w:r>
        <w:rPr>
          <w:rStyle w:val="CharStyle14"/>
          <w:sz w:val="24"/>
          <w:szCs w:val="24"/>
          <w:lang w:val="en-US" w:eastAsia="en-US"/>
        </w:rPr>
        <w:t>2026-3336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не предусмотрены в позиции каталога, за исключением случаев: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если при осуществлении закупки товара (в том числе поставляемого при выполнении закупаемых работ, оказании закупаемых услуг), указанного в позициях </w:t>
      </w:r>
      <w:r>
        <w:rPr>
          <w:rStyle w:val="CharStyle14"/>
          <w:lang w:val="en-US" w:eastAsia="en-US"/>
        </w:rPr>
        <w:t xml:space="preserve">25, 26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32 </w:t>
      </w:r>
      <w:r>
        <w:rPr>
          <w:rStyle w:val="CharStyle14"/>
        </w:rPr>
        <w:t xml:space="preserve">приложения </w:t>
      </w:r>
      <w:r>
        <w:rPr>
          <w:rStyle w:val="CharStyle14"/>
          <w:lang w:val="en-US" w:eastAsia="en-US"/>
        </w:rPr>
        <w:t xml:space="preserve">№1 </w:t>
      </w:r>
      <w:r>
        <w:rPr>
          <w:rStyle w:val="CharStyle14"/>
        </w:rPr>
        <w:t xml:space="preserve">к постановлению Правительства Российской Федерации от </w:t>
      </w:r>
      <w:r>
        <w:rPr>
          <w:rStyle w:val="CharStyle14"/>
          <w:lang w:val="en-US" w:eastAsia="en-US"/>
        </w:rPr>
        <w:t xml:space="preserve">23 </w:t>
      </w:r>
      <w:r>
        <w:rPr>
          <w:rStyle w:val="CharStyle14"/>
        </w:rPr>
        <w:t xml:space="preserve">декабря </w:t>
      </w:r>
      <w:r>
        <w:rPr>
          <w:rStyle w:val="CharStyle14"/>
          <w:lang w:val="en-US" w:eastAsia="en-US"/>
        </w:rPr>
        <w:t xml:space="preserve">2024 </w:t>
      </w:r>
      <w:r>
        <w:rPr>
          <w:rStyle w:val="CharStyle14"/>
        </w:rPr>
        <w:t xml:space="preserve">г. </w:t>
      </w:r>
      <w:r>
        <w:rPr>
          <w:rStyle w:val="CharStyle14"/>
          <w:lang w:val="en-US" w:eastAsia="en-US"/>
        </w:rPr>
        <w:t xml:space="preserve">№1875 </w:t>
      </w:r>
      <w:r>
        <w:rPr>
          <w:rStyle w:val="CharStyle14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Постановление </w:t>
      </w:r>
      <w:r>
        <w:rPr>
          <w:rStyle w:val="CharStyle14"/>
          <w:lang w:val="en-US" w:eastAsia="en-US"/>
        </w:rPr>
        <w:t xml:space="preserve">№1875), </w:t>
      </w:r>
      <w:r>
        <w:rPr>
          <w:rStyle w:val="CharStyle14"/>
        </w:rPr>
        <w:t xml:space="preserve">позициях </w:t>
      </w:r>
      <w:r>
        <w:rPr>
          <w:rStyle w:val="CharStyle14"/>
          <w:lang w:val="en-US" w:eastAsia="en-US"/>
        </w:rPr>
        <w:t xml:space="preserve">191 - 361 </w:t>
      </w:r>
      <w:r>
        <w:rPr>
          <w:rStyle w:val="CharStyle14"/>
        </w:rPr>
        <w:t xml:space="preserve">приложения </w:t>
      </w:r>
      <w:r>
        <w:rPr>
          <w:rStyle w:val="CharStyle14"/>
          <w:lang w:val="en-US" w:eastAsia="en-US"/>
        </w:rPr>
        <w:t xml:space="preserve">№2 </w:t>
      </w:r>
      <w:r>
        <w:rPr>
          <w:rStyle w:val="CharStyle14"/>
        </w:rPr>
        <w:t xml:space="preserve">к Постановлению </w:t>
      </w:r>
      <w:r>
        <w:rPr>
          <w:rStyle w:val="CharStyle14"/>
          <w:lang w:val="en-US" w:eastAsia="en-US"/>
        </w:rPr>
        <w:t xml:space="preserve">№1875, </w:t>
      </w:r>
      <w:r>
        <w:rPr>
          <w:rStyle w:val="CharStyle14"/>
        </w:rPr>
        <w:t xml:space="preserve">применяются предусмотренные п.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Постановления </w:t>
      </w:r>
      <w:r>
        <w:rPr>
          <w:rStyle w:val="CharStyle14"/>
          <w:lang w:val="en-US" w:eastAsia="en-US"/>
        </w:rPr>
        <w:t xml:space="preserve">№1875 </w:t>
      </w:r>
      <w:r>
        <w:rPr>
          <w:rStyle w:val="CharStyle14"/>
        </w:rPr>
        <w:t>запрет, ограничение соответственно;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ч.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Правил использования КТРУ установлено, что в случае предоставления дополнительной информации, предусмотренной п.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>Правил использования КТРУ,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Согласно п. </w:t>
      </w:r>
      <w:r>
        <w:rPr>
          <w:rStyle w:val="CharStyle14"/>
          <w:lang w:val="en-US" w:eastAsia="en-US"/>
        </w:rPr>
        <w:t xml:space="preserve">7 </w:t>
      </w:r>
      <w:r>
        <w:rPr>
          <w:rStyle w:val="CharStyle14"/>
        </w:rPr>
        <w:t xml:space="preserve">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42, </w:t>
      </w:r>
      <w:r>
        <w:rPr>
          <w:rStyle w:val="CharStyle14"/>
        </w:rPr>
        <w:t xml:space="preserve">п.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75 </w:t>
      </w:r>
      <w:r>
        <w:rPr>
          <w:rStyle w:val="CharStyle14"/>
        </w:rPr>
        <w:t>Закона о контрактной системе соответственно.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Следовательно Заказчик самостоятельно определяет код позиции КТРУ, путём соотнесения объекта закупки к соответствующим кодам и наименованиям позиций КТРУ, как наиболее подходящим с учётом специфики закупки, области применения закупаемого товара (работы, услуги), а также его характеристик.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Согласно структурированной форме извещения, Заказчику требуется к поставке система рентгеновская диагностическая стационарная общего назначения, цифровая, описание объекта закупки осуществлено по ОКПД2 </w:t>
      </w:r>
      <w:r>
        <w:rPr>
          <w:rStyle w:val="CharStyle14"/>
          <w:lang w:val="en-US" w:eastAsia="en-US"/>
        </w:rPr>
        <w:t>26.60.11.113.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Заявителем в доводах жалобы указывается на неправомерный обход КТРУ и неприменение позиции КТРУ </w:t>
      </w:r>
      <w:r>
        <w:rPr>
          <w:rStyle w:val="CharStyle14"/>
          <w:lang w:val="en-US" w:eastAsia="en-US"/>
        </w:rPr>
        <w:t>26.60.11.113-00000097.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695" w:right="540" w:bottom="1268" w:left="1098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>Представители Заказчика пояснили, что потребность Заказчика в приобретении медицинского оборудования с конкретными характеристиками определятся особенностями (спецификой) деятельности заказчика: в условиях работы поликлиники смешанного типа (приём как взрослого населения, так и детей), важно высокое качество снимков и низкая доза облучения, т.к. при проведении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рентгеновской диагностики важно не пропустить ранние стадии заболеваний и их развитие без переоблучения населения. Проводя рентгенологическое обследование на современных сканирующих аппаратах, снижается вероятность ошибки и сокращается время при описании снимков, вовремя перенаправляя пациента в профильные учреждения для дальнейшего обследования.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В связи с этим, Заказчику требуется не просто рентгеновский аппарат, а система рентгеновская диагностическая стационарная. Преимущество сканирующего ЦПРИ заключается в высокой диагностической ценности получаемых цифровых рентгеновских изображений при одновременном снижении дозовых нагрузок на пациентов при обследовании. По сравнению с плоскопанельным детектором, в сканирующих ЦПРИ выше качество изображения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пространственное разрешение, контрастная чувствительность, динамический диапазон, и ниже дозовые нагрузки: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Пространственное разрешение сканирующих ЦПРИ </w:t>
      </w:r>
      <w:r>
        <w:rPr>
          <w:rStyle w:val="CharStyle14"/>
          <w:lang w:val="en-US" w:eastAsia="en-US"/>
        </w:rPr>
        <w:t xml:space="preserve">4-7 </w:t>
      </w:r>
      <w:r>
        <w:rPr>
          <w:rStyle w:val="CharStyle14"/>
        </w:rPr>
        <w:t xml:space="preserve">пар линий на мм, против </w:t>
      </w:r>
      <w:r>
        <w:rPr>
          <w:rStyle w:val="CharStyle14"/>
          <w:lang w:val="en-US" w:eastAsia="en-US"/>
        </w:rPr>
        <w:t xml:space="preserve">3,6 </w:t>
      </w:r>
      <w:r>
        <w:rPr>
          <w:rStyle w:val="CharStyle14"/>
        </w:rPr>
        <w:t>для плоскопанельных детекторов.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Пороговая контрастная чувствительность сканирующих ЦПРИ на уровне </w:t>
      </w:r>
      <w:r>
        <w:rPr>
          <w:rStyle w:val="CharStyle14"/>
          <w:lang w:val="en-US" w:eastAsia="en-US"/>
        </w:rPr>
        <w:t xml:space="preserve">0,5%, </w:t>
      </w:r>
      <w:r>
        <w:rPr>
          <w:rStyle w:val="CharStyle14"/>
        </w:rPr>
        <w:t xml:space="preserve">против </w:t>
      </w:r>
      <w:r>
        <w:rPr>
          <w:rStyle w:val="CharStyle14"/>
          <w:lang w:val="en-US" w:eastAsia="en-US"/>
        </w:rPr>
        <w:t xml:space="preserve">1-1,5% </w:t>
      </w:r>
      <w:r>
        <w:rPr>
          <w:rStyle w:val="CharStyle14"/>
        </w:rPr>
        <w:t>для систем на основе плоскопанельного детектора.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Динамический диапазон в системах регистрации со сканирующим ЦПРИ более </w:t>
      </w:r>
      <w:r>
        <w:rPr>
          <w:rStyle w:val="CharStyle14"/>
          <w:lang w:val="en-US" w:eastAsia="en-US"/>
        </w:rPr>
        <w:t xml:space="preserve">1000 </w:t>
      </w:r>
      <w:r>
        <w:rPr>
          <w:rStyle w:val="CharStyle14"/>
        </w:rPr>
        <w:t xml:space="preserve">отн.ед., в системах с плоскопанельным детектором </w:t>
      </w:r>
      <w:r>
        <w:rPr>
          <w:rStyle w:val="CharStyle14"/>
          <w:lang w:val="en-US" w:eastAsia="en-US"/>
        </w:rPr>
        <w:t xml:space="preserve">400 </w:t>
      </w:r>
      <w:r>
        <w:rPr>
          <w:rStyle w:val="CharStyle14"/>
        </w:rPr>
        <w:t>отн.ед.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Нормированная доза на кадр сканирующих ЦПРИ менее 0,5мкГр, против </w:t>
      </w:r>
      <w:r>
        <w:rPr>
          <w:rStyle w:val="CharStyle14"/>
          <w:lang w:val="en-US" w:eastAsia="en-US"/>
        </w:rPr>
        <w:t xml:space="preserve">4,4-8,7 </w:t>
      </w:r>
      <w:r>
        <w:rPr>
          <w:rStyle w:val="CharStyle14"/>
        </w:rPr>
        <w:t>мкГр для плоскопанельных детекторов.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Согласно представленной Заказчиком сравнительной таблице и инструкциями к товарам представленным в материалы дела, под техническое задание Заказчика подходят товары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>производителей: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Аппарат рентгенографический цифровой малодозовый «КАРС» по ТУ </w:t>
      </w:r>
      <w:r>
        <w:rPr>
          <w:rStyle w:val="CharStyle14"/>
          <w:lang w:val="en-US" w:eastAsia="en-US"/>
        </w:rPr>
        <w:t xml:space="preserve">26.60.11-005-11857614-2017, </w:t>
      </w:r>
      <w:r>
        <w:rPr>
          <w:rStyle w:val="CharStyle14"/>
        </w:rPr>
        <w:t xml:space="preserve">вариант исполнения на два рабочих места стационарный, модель «КАРС»-РБКС2. Производитель: ООО предприятие «МЕДТЕХ», Российская Федерация (регистрационное удостоверение РЗН </w:t>
      </w:r>
      <w:r>
        <w:rPr>
          <w:rStyle w:val="CharStyle14"/>
          <w:lang w:val="en-US" w:eastAsia="en-US"/>
        </w:rPr>
        <w:t>2019/9498);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Аппарат рентгенографический линейного и углового сканирования цифровой АРСЦ-02-»Н» по ТУ </w:t>
      </w:r>
      <w:r>
        <w:rPr>
          <w:rStyle w:val="CharStyle14"/>
          <w:lang w:val="en-US" w:eastAsia="en-US"/>
        </w:rPr>
        <w:t xml:space="preserve">9442-002-07501706-2003. </w:t>
      </w:r>
      <w:r>
        <w:rPr>
          <w:rStyle w:val="CharStyle14"/>
        </w:rPr>
        <w:t xml:space="preserve">Производитель: АО «Институт прикладной физики», Российская Федерация (регистрационное удостоверение РЗН </w:t>
      </w:r>
      <w:r>
        <w:rPr>
          <w:rStyle w:val="CharStyle14"/>
          <w:lang w:val="en-US" w:eastAsia="en-US"/>
        </w:rPr>
        <w:t>2014/2199).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Так же у Заказчика имеются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>коммерческих предложения от производителей и поставщиков, подтверждающих возможность поставки вышеуказанных рентгенографических аппаратов Заказчику.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695" w:right="535" w:bottom="836" w:left="1098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 xml:space="preserve">Комиссией Томского УФАС было направлены запросы (исх. №ИК/2676/26 от </w:t>
      </w:r>
      <w:r>
        <w:rPr>
          <w:rStyle w:val="CharStyle14"/>
          <w:lang w:val="en-US" w:eastAsia="en-US"/>
        </w:rPr>
        <w:t xml:space="preserve">13.05.2026; </w:t>
      </w:r>
      <w:r>
        <w:rPr>
          <w:rStyle w:val="CharStyle14"/>
        </w:rPr>
        <w:t xml:space="preserve">исх. №ИК/2696/26 от </w:t>
      </w:r>
      <w:r>
        <w:rPr>
          <w:rStyle w:val="CharStyle14"/>
          <w:lang w:val="en-US" w:eastAsia="en-US"/>
        </w:rPr>
        <w:t xml:space="preserve">13.05.2026) </w:t>
      </w:r>
      <w:r>
        <w:rPr>
          <w:rStyle w:val="CharStyle14"/>
        </w:rPr>
        <w:t xml:space="preserve">о возможности поставки следующих медицинских изделий: «аппарат рентгенографический линейного и углового сканирования цифровой АРСЦ-02-»Н» и «аппарат рентгенографический цифровой малодозовый «КАРС» по ТУ </w:t>
      </w:r>
      <w:r>
        <w:rPr>
          <w:rStyle w:val="CharStyle14"/>
          <w:lang w:val="en-US" w:eastAsia="en-US"/>
        </w:rPr>
        <w:t xml:space="preserve">26.60.11-005-11857614-2017». </w:t>
      </w:r>
      <w:r>
        <w:rPr>
          <w:rStyle w:val="CharStyle14"/>
        </w:rPr>
        <w:t xml:space="preserve">В ответ на данные запросы были получены ответы от ООО «ОНД» (исх. №0429-К от </w:t>
      </w:r>
      <w:r>
        <w:rPr>
          <w:rStyle w:val="CharStyle14"/>
          <w:lang w:val="en-US" w:eastAsia="en-US"/>
        </w:rPr>
        <w:t xml:space="preserve">29.04.2026), </w:t>
      </w:r>
      <w:r>
        <w:rPr>
          <w:rStyle w:val="CharStyle14"/>
        </w:rPr>
        <w:t xml:space="preserve">являющегося производителем аппарата рентгенографический линейного и углового </w:t>
      </w:r>
      <w:r>
        <w:rPr>
          <w:rStyle w:val="CharStyle14"/>
          <w:sz w:val="24"/>
          <w:szCs w:val="24"/>
          <w:lang w:val="en-US" w:eastAsia="en-US"/>
        </w:rPr>
        <w:t>2026-3336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сканирования цифровой АРСЦ-02-»Н», а также от поставщика данного аппарата ООО «ПРОФАРМ» (исх. </w:t>
      </w:r>
      <w:r>
        <w:rPr>
          <w:rStyle w:val="CharStyle14"/>
          <w:lang w:val="en-US" w:eastAsia="en-US"/>
        </w:rPr>
        <w:t xml:space="preserve">№25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14.05.2026), </w:t>
      </w:r>
      <w:r>
        <w:rPr>
          <w:rStyle w:val="CharStyle14"/>
        </w:rPr>
        <w:t>в которых указана возможность поставки аппарата с учетом требований технического задания.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Комиссией Управления установлено, что закупка товара, являющегося объектом закупки осуществляется посредством предоставления субсидии на приобретению рентгенологического аппарата.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Показателем, необходимым для достижения результата предоставления субсидии является приобретение медицинского оборудования согласно Приложению </w:t>
      </w:r>
      <w:r>
        <w:rPr>
          <w:rStyle w:val="CharStyle14"/>
          <w:lang w:val="en-US" w:eastAsia="en-US"/>
        </w:rPr>
        <w:t xml:space="preserve">№1 </w:t>
      </w:r>
      <w:r>
        <w:rPr>
          <w:rStyle w:val="CharStyle14"/>
        </w:rPr>
        <w:t xml:space="preserve">к Соглашению №36ц от </w:t>
      </w:r>
      <w:r>
        <w:rPr>
          <w:rStyle w:val="CharStyle14"/>
          <w:lang w:val="en-US" w:eastAsia="en-US"/>
        </w:rPr>
        <w:t>06.03.2026.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Согласно порядковому номеру </w:t>
      </w:r>
      <w:r>
        <w:rPr>
          <w:rStyle w:val="CharStyle14"/>
          <w:lang w:val="en-US" w:eastAsia="en-US"/>
        </w:rPr>
        <w:t xml:space="preserve">11 </w:t>
      </w:r>
      <w:r>
        <w:rPr>
          <w:rStyle w:val="CharStyle14"/>
        </w:rPr>
        <w:t xml:space="preserve">перечня Приложения </w:t>
      </w:r>
      <w:r>
        <w:rPr>
          <w:rStyle w:val="CharStyle14"/>
          <w:lang w:val="en-US" w:eastAsia="en-US"/>
        </w:rPr>
        <w:t xml:space="preserve">№1 </w:t>
      </w:r>
      <w:r>
        <w:rPr>
          <w:rStyle w:val="CharStyle14"/>
        </w:rPr>
        <w:t xml:space="preserve">к Соглашению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36ц от </w:t>
      </w:r>
      <w:r>
        <w:rPr>
          <w:rStyle w:val="CharStyle14"/>
          <w:lang w:val="en-US" w:eastAsia="en-US"/>
        </w:rPr>
        <w:t xml:space="preserve">06.03.2026 </w:t>
      </w:r>
      <w:r>
        <w:rPr>
          <w:rStyle w:val="CharStyle14"/>
        </w:rPr>
        <w:t xml:space="preserve">ОГБУЗ «Городская клиническая больница </w:t>
      </w:r>
      <w:r>
        <w:rPr>
          <w:rStyle w:val="CharStyle14"/>
          <w:lang w:val="en-US" w:eastAsia="en-US"/>
        </w:rPr>
        <w:t xml:space="preserve">№1» </w:t>
      </w:r>
      <w:r>
        <w:rPr>
          <w:rStyle w:val="CharStyle14"/>
        </w:rPr>
        <w:t xml:space="preserve">обязано закупить «Аппарат рентгенографический цифровой малодозовый «КАРС» по ТУ </w:t>
      </w:r>
      <w:r>
        <w:rPr>
          <w:rStyle w:val="CharStyle14"/>
          <w:lang w:val="en-US" w:eastAsia="en-US"/>
        </w:rPr>
        <w:t xml:space="preserve">26.60.11- 005-11857614-2017», </w:t>
      </w:r>
      <w:r>
        <w:rPr>
          <w:rStyle w:val="CharStyle14"/>
        </w:rPr>
        <w:t>вариант исполнения на два рабочих места стационарный, модель «КАРС»-РБКС2 с мобильным столом» (или аналог).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Предоставление указанных субсидий осуществляется согласно части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78.2 </w:t>
      </w:r>
      <w:r>
        <w:rPr>
          <w:rStyle w:val="CharStyle14"/>
        </w:rPr>
        <w:t>БК РФ в соответствии с соглашением о предоставлении, которое в т.ч. предусматривает цель предоставления субсидии и ее объем, положения, устанавливающие права и обязанности сторон соглашения о предоставлении субсидии и порядок их взаимосвязи при реализации указанного соглашения.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В соглашении в соответствии с частью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78.2 </w:t>
      </w:r>
      <w:r>
        <w:rPr>
          <w:rStyle w:val="CharStyle14"/>
        </w:rPr>
        <w:t>БК РФ предусматривается право получателя бюджетных средств, предоставляющего субсидию, на проведение проверок соблюдения бюджетным учреждением условий, установленных соглашением о предоставлении субсидии, а также порядок возврата сумм, использованных бюджетным учреждением в случае установления по результатам проверок фактов нарушения этим учреждением целей и условий, определенных соглашением о предоставлении субсидии.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Кроме того, целью закупки является обеспечение оказания гражданам медицинской помощи </w:t>
      </w:r>
      <w:r>
        <w:rPr>
          <w:rStyle w:val="CharStyle14"/>
          <w:u w:val="single"/>
        </w:rPr>
        <w:t>высокого</w:t>
      </w:r>
      <w:r>
        <w:rPr>
          <w:rStyle w:val="CharStyle14"/>
        </w:rPr>
        <w:t xml:space="preserve"> качества, а не обеспечение максимального количества потенциальных участников закупки при соблюдении требований законодательства. С учетом многолетней практики медицинского учреждения </w:t>
      </w:r>
      <w:r>
        <w:rPr>
          <w:rStyle w:val="CharStyle14"/>
          <w:lang w:val="en-US" w:eastAsia="en-US"/>
        </w:rPr>
        <w:t xml:space="preserve">— </w:t>
      </w:r>
      <w:r>
        <w:rPr>
          <w:rStyle w:val="CharStyle14"/>
        </w:rPr>
        <w:t>данные требования является исключительной потребностью Заказчика.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Исходя из вышеизложенного Комиссии Томского УФАС России приходит к выводу, что действия Заказчика не противоречат требованиям Закона о контрактной системе, а также соответствует потребности Заказчика с учетом специфики проводимых медицинских исследований.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695" w:right="535" w:bottom="1268" w:left="1098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 xml:space="preserve">В соответствии с частью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Закона о контрактной системе </w:t>
      </w:r>
      <w:r>
        <w:rPr>
          <w:rStyle w:val="CharStyle14"/>
          <w:u w:val="single"/>
        </w:rPr>
        <w:t>Заказчик при планировании и осуществлении закупок должен исходить из необходимости достижения заданных результатов обеспечения государственных и муниципальных нужд</w:t>
      </w:r>
      <w:r>
        <w:rPr>
          <w:rStyle w:val="CharStyle14"/>
        </w:rPr>
        <w:t xml:space="preserve">. При этом, в зависимости от своих потребностей Заказчик в описании объекта закупки должен установить требования, в том числе к качеству, техническим характеристикам (потребительским свойствам) </w:t>
      </w:r>
      <w:r>
        <w:rPr>
          <w:rStyle w:val="CharStyle14"/>
          <w:u w:val="single"/>
        </w:rPr>
        <w:t>с учетом специфики его деятельности</w:t>
      </w:r>
      <w:r>
        <w:rPr>
          <w:rStyle w:val="CharStyle14"/>
        </w:rPr>
        <w:t>, при соблюдении установленных законодательством Российской Федерации положений, направленных на обеспечение конкуренции при проведении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торгов.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В связи с указанным, Заказчик вправе включить в описание объекта закупки такие характеристики и требования к товару, которые отвечают его потребностям и необходимы для выполнения соответствующих функций. При этом, Заказчик вправе в необходимой степени детализировать предмет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Исходя из толкования положений 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о контрактной системе, </w:t>
      </w:r>
      <w:r>
        <w:rPr>
          <w:rStyle w:val="CharStyle14"/>
          <w:u w:val="single"/>
        </w:rPr>
        <w:t>при описании объекта закупки (формировании технического задания) Заказчику в рамках закона предоставлены полномочия по самостоятельному определению параметров и характеристик товара, в наибольшей степени удовлетворяющих его потребности</w:t>
      </w:r>
      <w:r>
        <w:rPr>
          <w:rStyle w:val="CharStyle14"/>
        </w:rPr>
        <w:t>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  <w:u w:val="single"/>
        </w:rPr>
        <w:t xml:space="preserve">Аналогичная правовая позиция отражена в судебной практике (Определение Верховного Суда РФ от </w:t>
      </w:r>
      <w:r>
        <w:rPr>
          <w:rStyle w:val="CharStyle14"/>
          <w:u w:val="single"/>
          <w:lang w:val="en-US" w:eastAsia="en-US"/>
        </w:rPr>
        <w:t xml:space="preserve">30.12.2021 № </w:t>
      </w:r>
      <w:r>
        <w:rPr>
          <w:rStyle w:val="CharStyle14"/>
          <w:u w:val="single"/>
        </w:rPr>
        <w:t xml:space="preserve">306-ЭС21-25954 по делу </w:t>
      </w:r>
      <w:r>
        <w:rPr>
          <w:rStyle w:val="CharStyle14"/>
          <w:u w:val="single"/>
          <w:lang w:val="en-US" w:eastAsia="en-US"/>
        </w:rPr>
        <w:t xml:space="preserve">№ </w:t>
      </w:r>
      <w:r>
        <w:rPr>
          <w:rStyle w:val="CharStyle14"/>
          <w:u w:val="single"/>
        </w:rPr>
        <w:t xml:space="preserve">А65-29493/2020, Постановление Арбитражного суда Уральского округа от </w:t>
      </w:r>
      <w:r>
        <w:rPr>
          <w:rStyle w:val="CharStyle14"/>
          <w:u w:val="single"/>
          <w:lang w:val="en-US" w:eastAsia="en-US"/>
        </w:rPr>
        <w:t xml:space="preserve">06.04.2023 № </w:t>
      </w:r>
      <w:r>
        <w:rPr>
          <w:rStyle w:val="CharStyle14"/>
          <w:u w:val="single"/>
        </w:rPr>
        <w:t xml:space="preserve">Ф09-1213/23 по делу </w:t>
      </w:r>
      <w:r>
        <w:rPr>
          <w:rStyle w:val="CharStyle14"/>
          <w:u w:val="single"/>
          <w:lang w:val="en-US" w:eastAsia="en-US"/>
        </w:rPr>
        <w:t xml:space="preserve">№ </w:t>
      </w:r>
      <w:r>
        <w:rPr>
          <w:rStyle w:val="CharStyle14"/>
          <w:u w:val="single"/>
        </w:rPr>
        <w:t xml:space="preserve">А34-12851/2021, Постановление Арбитражного суда Западно-Сибирского округа от </w:t>
      </w:r>
      <w:r>
        <w:rPr>
          <w:rStyle w:val="CharStyle14"/>
          <w:u w:val="single"/>
          <w:lang w:val="en-US" w:eastAsia="en-US"/>
        </w:rPr>
        <w:t xml:space="preserve">13.04.2023 № </w:t>
      </w:r>
      <w:r>
        <w:rPr>
          <w:rStyle w:val="CharStyle14"/>
          <w:u w:val="single"/>
        </w:rPr>
        <w:t xml:space="preserve">Ф04-1209/2023 по делу </w:t>
      </w:r>
      <w:r>
        <w:rPr>
          <w:rStyle w:val="CharStyle14"/>
          <w:u w:val="single"/>
          <w:lang w:val="en-US" w:eastAsia="en-US"/>
        </w:rPr>
        <w:t xml:space="preserve">№ </w:t>
      </w:r>
      <w:r>
        <w:rPr>
          <w:rStyle w:val="CharStyle14"/>
          <w:u w:val="single"/>
        </w:rPr>
        <w:t>А81-8369/2022).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Кроме того, Закон о контрактной системе не содержит норм, ограничивающих право Заказчика включать в описание объекта закупки требования к объекту закупки, которые являются для него значимыми, и обязывающих Заказчика устанавливать в извещении о проведении электронного аукциона, вопреки его потребностям, такие требования к характеристикам объекта закупки, которые соответствовали бы всем существующим видам товаров.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Действующее законодательство Российской Федерации о контрактной системе в сфере закупок не содержат положений, ограничивающих возможность заказчика в самостоятельном определении кода ОКПД2 проводимых закупок. Заказчик самостоятельно определяет код ОКПД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>как наиболее подходящий объекту закупки, исходя из собственных потребностей и особенностей закупаемого товара.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Так, основной задачей законодательства, устанавливающего порядок проведения закупок,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 товаров, работ, услуг для обеспечения государственных и муниципальных нужд.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Следовательно, при наличии у Заказчика потребности в получении определенных товаров, вести речь о необоснованном ограничении им количества потенциальных участников размещения закупки не приходится, в зависимости от своих потребностей Заказчик вправе установить характеристики, которые соответствуют его нужде.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Помимо прочего, Комиссией Управления установлено, что под описание объекта закупки подходят товары двух производителей, оба из которых могут быть поставлены в рамках рассматриваемой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74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695" w:right="530" w:bottom="788" w:left="1098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 xml:space="preserve">Кроме того, Комиссия Томского УФАС России отмечает, что отсутствие у каких-либо лиц, заинтересованных в заключении контракта, возможности поставить товар, соответствующий потребностям Заказчика, не свидетельствует о нарушении </w:t>
      </w:r>
      <w:r>
        <w:rPr>
          <w:rStyle w:val="CharStyle14"/>
          <w:sz w:val="24"/>
          <w:szCs w:val="24"/>
          <w:lang w:val="en-US" w:eastAsia="en-US"/>
        </w:rPr>
        <w:t>2026-3336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заказчиком прав этих лиц, а также об ограничении заказчиком числа участников закупки. Заявитель как податель жалобы в антимонопольный орган и лицо, участвующее в деле, обязан вместе с жалобой представить соответствующие его позиции доказательства, подтверждающие или опровергающие оспариваемые обстоятельства.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rStyle w:val="CharStyle14"/>
        </w:rPr>
        <w:t xml:space="preserve">Принимая во внимание вышеизложенное, и руководствуясь статьей </w:t>
      </w:r>
      <w:r>
        <w:rPr>
          <w:rStyle w:val="CharStyle14"/>
          <w:lang w:val="en-US" w:eastAsia="en-US"/>
        </w:rPr>
        <w:t xml:space="preserve">14, </w:t>
      </w:r>
      <w:r>
        <w:rPr>
          <w:rStyle w:val="CharStyle14"/>
        </w:rPr>
        <w:t xml:space="preserve">статьей </w:t>
      </w:r>
      <w:r>
        <w:rPr>
          <w:rStyle w:val="CharStyle14"/>
          <w:lang w:val="en-US" w:eastAsia="en-US"/>
        </w:rPr>
        <w:t xml:space="preserve">42, </w:t>
      </w:r>
      <w:r>
        <w:rPr>
          <w:rStyle w:val="CharStyle14"/>
        </w:rPr>
        <w:t xml:space="preserve">статьей </w:t>
      </w:r>
      <w:r>
        <w:rPr>
          <w:rStyle w:val="CharStyle14"/>
          <w:lang w:val="en-US" w:eastAsia="en-US"/>
        </w:rPr>
        <w:t xml:space="preserve">49, </w:t>
      </w:r>
      <w:r>
        <w:rPr>
          <w:rStyle w:val="CharStyle14"/>
        </w:rPr>
        <w:t xml:space="preserve">статьей </w:t>
      </w:r>
      <w:r>
        <w:rPr>
          <w:rStyle w:val="CharStyle14"/>
          <w:lang w:val="en-US" w:eastAsia="en-US"/>
        </w:rPr>
        <w:t xml:space="preserve">99, </w:t>
      </w:r>
      <w:r>
        <w:rPr>
          <w:rStyle w:val="CharStyle14"/>
        </w:rPr>
        <w:t xml:space="preserve">статьей </w:t>
      </w:r>
      <w:r>
        <w:rPr>
          <w:rStyle w:val="CharStyle14"/>
          <w:lang w:val="en-US" w:eastAsia="en-US"/>
        </w:rPr>
        <w:t xml:space="preserve">105, </w:t>
      </w:r>
      <w:r>
        <w:rPr>
          <w:rStyle w:val="CharStyle14"/>
        </w:rPr>
        <w:t xml:space="preserve">статьей </w:t>
      </w:r>
      <w:r>
        <w:rPr>
          <w:rStyle w:val="CharStyle14"/>
          <w:lang w:val="en-US" w:eastAsia="en-US"/>
        </w:rPr>
        <w:t xml:space="preserve">106 </w:t>
      </w:r>
      <w:r>
        <w:rPr>
          <w:rStyle w:val="CharStyle14"/>
        </w:rPr>
        <w:t>Закона 44-ФЗ, Комиссия Томского УФАС России,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4"/>
        </w:rPr>
        <w:t>Р Е Ш И Л А: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Признать жалобу ООО «СКАР» (вх. </w:t>
      </w:r>
      <w:r>
        <w:rPr>
          <w:rStyle w:val="CharStyle14"/>
          <w:lang w:val="en-US" w:eastAsia="en-US"/>
        </w:rPr>
        <w:t xml:space="preserve">№3717/26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08.05.2026) </w:t>
      </w:r>
      <w:r>
        <w:rPr>
          <w:rStyle w:val="CharStyle14"/>
        </w:rPr>
        <w:t xml:space="preserve">на действия Заказчика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ОГБУЗ "ГКБ </w:t>
      </w:r>
      <w:r>
        <w:rPr>
          <w:rStyle w:val="CharStyle14"/>
          <w:lang w:val="en-US" w:eastAsia="en-US"/>
        </w:rPr>
        <w:t xml:space="preserve">№ 1" </w:t>
      </w:r>
      <w:r>
        <w:rPr>
          <w:rStyle w:val="CharStyle14"/>
        </w:rPr>
        <w:t xml:space="preserve">при проведении электронного аукциона «Поставка медицинского изделия (Система рентгеновская диагностическая стационарная общего назначения, цифровая), ввод в эксплуатацию медицинского изделия, обучение правилам эксплуатации специалистов, эксплуатирующих медицинское изделие» (извещение </w:t>
      </w:r>
      <w:r>
        <w:rPr>
          <w:rStyle w:val="CharStyle14"/>
          <w:lang w:val="en-US" w:eastAsia="en-US"/>
        </w:rPr>
        <w:t xml:space="preserve">№0865200000326000560) </w:t>
      </w:r>
      <w:r>
        <w:rPr>
          <w:rStyle w:val="CharStyle14"/>
        </w:rPr>
        <w:t>необоснованной.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действиях Заказчика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ОГБУЗ "ГКБ </w:t>
      </w:r>
      <w:r>
        <w:rPr>
          <w:rStyle w:val="CharStyle14"/>
          <w:lang w:val="en-US" w:eastAsia="en-US"/>
        </w:rPr>
        <w:t xml:space="preserve">№ 1" </w:t>
      </w:r>
      <w:r>
        <w:rPr>
          <w:rStyle w:val="CharStyle14"/>
        </w:rPr>
        <w:t xml:space="preserve">при проведении электронного аукциона «Поставка медицинского изделия (Система рентгеновская диагностическая стационарная общего назначения, цифровая), ввод в эксплуатацию медицинского изделия, обучение правилам эксплуатации специалистов, эксплуатирующих медицинское изделие» (извещение </w:t>
      </w:r>
      <w:r>
        <w:rPr>
          <w:rStyle w:val="CharStyle14"/>
          <w:lang w:val="en-US" w:eastAsia="en-US"/>
        </w:rPr>
        <w:t xml:space="preserve">№0865200000326000560) </w:t>
      </w:r>
      <w:r>
        <w:rPr>
          <w:rStyle w:val="CharStyle14"/>
        </w:rPr>
        <w:t>нарушений Закона о контрактной системе не установлено.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7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Предписание не выдавать.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0" w:right="0" w:firstLine="720"/>
        <w:jc w:val="both"/>
      </w:pPr>
      <w:r>
        <w:rPr>
          <w:rStyle w:val="CharStyle14"/>
        </w:rPr>
        <w:t>Настоящее решение может быть обжаловано в судебном порядке в течение трех месяцев в установленном законом порядке.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Председатель комиссии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9920" w:right="0" w:firstLine="0"/>
        <w:jc w:val="both"/>
      </w:pPr>
      <w:r>
        <w:rPr>
          <w:rStyle w:val="CharStyle14"/>
        </w:rPr>
        <w:t>С.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9920" w:right="0" w:firstLine="0"/>
        <w:jc w:val="both"/>
      </w:pPr>
      <w:r>
        <w:rPr>
          <w:rStyle w:val="CharStyle14"/>
        </w:rPr>
        <w:t>Б.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9920" w:right="0" w:firstLine="0"/>
        <w:jc w:val="both"/>
      </w:pPr>
      <w:r>
        <w:rPr>
          <w:rStyle w:val="CharStyle14"/>
        </w:rPr>
        <w:t>С.</w:t>
      </w:r>
    </w:p>
    <w:sectPr>
      <w:footnotePr>
        <w:pos w:val="pageBottom"/>
        <w:numFmt w:val="decimal"/>
        <w:numRestart w:val="continuous"/>
      </w:footnotePr>
      <w:pgSz w:w="11900" w:h="16840"/>
      <w:pgMar w:top="1695" w:right="535" w:bottom="1695" w:left="110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10013315</wp:posOffset>
              </wp:positionV>
              <wp:extent cx="648970" cy="10668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6"/>
                              <w:sz w:val="24"/>
                              <w:szCs w:val="24"/>
                            </w:rPr>
                            <w:t>2026-3336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800000000000004pt;margin-top:788.45000000000005pt;width:51.100000000000001pt;height:8.4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6"/>
                        <w:sz w:val="24"/>
                        <w:szCs w:val="24"/>
                      </w:rPr>
                      <w:t>2026-3336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9854565</wp:posOffset>
              </wp:positionV>
              <wp:extent cx="650875" cy="10541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0875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6"/>
                              <w:sz w:val="24"/>
                              <w:szCs w:val="24"/>
                              <w:lang w:val="ru-RU" w:eastAsia="ru-RU"/>
                            </w:rPr>
                            <w:t>2026-3336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800000000000004pt;margin-top:775.95000000000005pt;width:51.25pt;height:8.3000000000000007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6"/>
                        <w:sz w:val="24"/>
                        <w:szCs w:val="24"/>
                        <w:lang w:val="ru-RU" w:eastAsia="ru-RU"/>
                      </w:rPr>
                      <w:t>2026-3336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3928110</wp:posOffset>
              </wp:positionH>
              <wp:positionV relativeFrom="page">
                <wp:posOffset>759460</wp:posOffset>
              </wp:positionV>
              <wp:extent cx="54610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30000000000001pt;margin-top:59.800000000000004pt;width:4.2999999999999998pt;height:8.4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3900805</wp:posOffset>
              </wp:positionH>
              <wp:positionV relativeFrom="page">
                <wp:posOffset>711200</wp:posOffset>
              </wp:positionV>
              <wp:extent cx="128270" cy="10668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7.15000000000003pt;margin-top:56.pt;width:10.1pt;height:8.4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061A9"/>
      <w:sz w:val="16"/>
      <w:szCs w:val="16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061A9"/>
      <w:sz w:val="19"/>
      <w:szCs w:val="19"/>
      <w:u w:val="none"/>
    </w:rPr>
  </w:style>
  <w:style w:type="character" w:customStyle="1" w:styleId="CharStyle8">
    <w:name w:val="Body text (5)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  <w:style w:type="character" w:customStyle="1" w:styleId="CharStyle12">
    <w:name w:val="Body text (4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Header or footer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9">
    <w:name w:val="Heading #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after="10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061A9"/>
      <w:sz w:val="16"/>
      <w:szCs w:val="16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061A9"/>
      <w:sz w:val="19"/>
      <w:szCs w:val="19"/>
      <w:u w:val="none"/>
    </w:rPr>
  </w:style>
  <w:style w:type="paragraph" w:customStyle="1" w:styleId="Style7">
    <w:name w:val="Body text (5)"/>
    <w:basedOn w:val="Normal"/>
    <w:link w:val="CharStyle8"/>
    <w:pPr>
      <w:widowControl w:val="0"/>
      <w:shd w:val="clear" w:color="auto" w:fill="auto"/>
      <w:spacing w:after="140" w:line="252" w:lineRule="auto"/>
      <w:ind w:left="200" w:firstLine="260"/>
    </w:pPr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  <w:style w:type="paragraph" w:customStyle="1" w:styleId="Style11">
    <w:name w:val="Body text (4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Header or footer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spacing w:after="3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/Relationships>
</file>

<file path=docProps/core.xml>﻿<?xml version="1.0" encoding="UTF-8" standalone="yes"?>
<cp:coreProperties xmlns:cp="http://schemas.openxmlformats.org/package/2006/metadata/core-properties" xmlns:dc="http://purl.org/dc/elements/1.1/"><dc:title>blank.pdf - 2026-05-19T184455.787.odt</dc:title><dc:subject></dc:subject><dc:creator>&#x11;018=0 #;LO=0 &#x15;235=L2=0</dc:creator><cp:keywords></cp:keywords>
</cp:coreProperties>
</file>