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1772285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5595" distR="242570" simplePos="0" relativeHeight="125829379" behindDoc="0" locked="0" layoutInCell="1" allowOverlap="1">
                <wp:simplePos x="0" y="0"/>
                <wp:positionH relativeFrom="page">
                  <wp:posOffset>918845</wp:posOffset>
                </wp:positionH>
                <wp:positionV relativeFrom="paragraph">
                  <wp:posOffset>728980</wp:posOffset>
                </wp:positionV>
                <wp:extent cx="2252345" cy="13563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356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350000000000009pt;margin-top:57.399999999999999pt;width:177.34999999999999pt;height:106.8pt;z-index:-125829374;mso-wrap-distance-left:24.850000000000001pt;mso-wrap-distance-top:56.399999999999999pt;mso-wrap-distance-right:19.100000000000001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70760" distB="877570" distL="184150" distR="1504315" simplePos="0" relativeHeight="125829381" behindDoc="0" locked="0" layoutInCell="1" allowOverlap="1">
            <wp:simplePos x="0" y="0"/>
            <wp:positionH relativeFrom="page">
              <wp:posOffset>787400</wp:posOffset>
            </wp:positionH>
            <wp:positionV relativeFrom="paragraph">
              <wp:posOffset>2283460</wp:posOffset>
            </wp:positionV>
            <wp:extent cx="1121410" cy="20129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2141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2637155</wp:posOffset>
                </wp:positionV>
                <wp:extent cx="2581910" cy="1555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5pt;margin-top:207.65000000000001pt;width:203.30000000000001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0020" distR="1717675" simplePos="0" relativeHeight="125829382" behindDoc="0" locked="0" layoutInCell="1" allowOverlap="1">
                <wp:simplePos x="0" y="0"/>
                <wp:positionH relativeFrom="page">
                  <wp:posOffset>763270</wp:posOffset>
                </wp:positionH>
                <wp:positionV relativeFrom="paragraph">
                  <wp:posOffset>3143250</wp:posOffset>
                </wp:positionV>
                <wp:extent cx="932815" cy="21971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решение 1063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0.100000000000001pt;margin-top:247.5pt;width:73.450000000000003pt;height:17.300000000000001pt;z-index:-125829371;mso-wrap-distance-left:12.6pt;mso-wrap-distance-top:246.5pt;mso-wrap-distance-right:135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0"/>
                          <w:sz w:val="24"/>
                          <w:szCs w:val="24"/>
                        </w:rPr>
                        <w:t>решение 1063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4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9265920</wp:posOffset>
            </wp:positionV>
            <wp:extent cx="1511935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54" w:lineRule="auto"/>
        <w:ind w:left="1040" w:right="0" w:firstLine="0"/>
        <w:jc w:val="left"/>
      </w:pPr>
      <w:bookmarkStart w:id="0" w:name="bookmark0"/>
      <w:r>
        <w:rPr>
          <w:rStyle w:val="CharStyle13"/>
          <w:b/>
          <w:bCs/>
        </w:rPr>
        <w:t>Заявитель: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1040" w:right="0" w:firstLine="0"/>
        <w:jc w:val="left"/>
        <w:rPr>
          <w:sz w:val="26"/>
          <w:szCs w:val="26"/>
        </w:rPr>
      </w:pPr>
      <w:r>
        <w:rPr>
          <w:rStyle w:val="CharStyle10"/>
          <w:sz w:val="26"/>
          <w:szCs w:val="26"/>
        </w:rPr>
        <w:t xml:space="preserve">ИП Бондаренко Иван Николаевич аллея Поликарпова, 2 лит А, кв. 697, МО Комендантский аэродром, г. Санкт-Петербург, 197341 </w:t>
      </w:r>
      <w:r>
        <w:fldChar w:fldCharType="begin"/>
      </w:r>
      <w:r>
        <w:rPr/>
        <w:instrText> HYPERLINK "mailto:bondarenko.dgy@mail.ru" </w:instrText>
      </w:r>
      <w:r>
        <w:fldChar w:fldCharType="separate"/>
      </w:r>
      <w:r>
        <w:rPr>
          <w:rStyle w:val="CharStyle10"/>
          <w:sz w:val="26"/>
          <w:szCs w:val="26"/>
          <w:lang w:val="en-US" w:eastAsia="en-US"/>
        </w:rPr>
        <w:t>bondarenko.dgy@mail.ru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57" w:lineRule="auto"/>
        <w:ind w:left="1040" w:right="0" w:firstLine="0"/>
        <w:jc w:val="left"/>
      </w:pPr>
      <w:bookmarkStart w:id="2" w:name="bookmark2"/>
      <w:r>
        <w:rPr>
          <w:rStyle w:val="CharStyle13"/>
          <w:b/>
          <w:bCs/>
        </w:rPr>
        <w:t>Заказчик: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1040" w:right="0" w:firstLine="0"/>
        <w:jc w:val="left"/>
        <w:rPr>
          <w:sz w:val="26"/>
          <w:szCs w:val="26"/>
        </w:rPr>
      </w:pPr>
      <w:r>
        <w:rPr>
          <w:rStyle w:val="CharStyle10"/>
          <w:sz w:val="26"/>
          <w:szCs w:val="26"/>
        </w:rPr>
        <w:t>ГБУЗ СК «Ставропольская краевая клиническая больница»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760" w:line="257" w:lineRule="auto"/>
        <w:ind w:left="1040" w:right="0" w:firstLine="0"/>
        <w:jc w:val="left"/>
        <w:rPr>
          <w:sz w:val="26"/>
          <w:szCs w:val="26"/>
        </w:rPr>
      </w:pPr>
      <w:r>
        <w:rPr>
          <w:rStyle w:val="CharStyle10"/>
          <w:sz w:val="26"/>
          <w:szCs w:val="26"/>
        </w:rPr>
        <w:t xml:space="preserve">Семашко ул., д. 1, г. Ставрополь, 355029 </w:t>
      </w:r>
      <w:r>
        <w:fldChar w:fldCharType="begin"/>
      </w:r>
      <w:r>
        <w:rPr/>
        <w:instrText> HYPERLINK "mailto:skkb@skkb26.ru" </w:instrText>
      </w:r>
      <w:r>
        <w:fldChar w:fldCharType="separate"/>
      </w:r>
      <w:r>
        <w:rPr>
          <w:rStyle w:val="CharStyle10"/>
          <w:sz w:val="26"/>
          <w:szCs w:val="26"/>
          <w:lang w:val="en-US" w:eastAsia="en-US"/>
        </w:rPr>
        <w:t>skkb@skkb26.ru</w:t>
      </w:r>
      <w:r>
        <w:fldChar w:fldCharType="end"/>
      </w:r>
      <w:r>
        <w:rPr>
          <w:rStyle w:val="CharStyle10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"mailto:skkb-law@skkb26.ru" </w:instrText>
      </w:r>
      <w:r>
        <w:fldChar w:fldCharType="separate"/>
      </w:r>
      <w:r>
        <w:rPr>
          <w:rStyle w:val="CharStyle10"/>
          <w:sz w:val="26"/>
          <w:szCs w:val="26"/>
          <w:lang w:val="en-US" w:eastAsia="en-US"/>
        </w:rPr>
        <w:t>skkb-law@skkb26.ru</w:t>
      </w:r>
      <w:r>
        <w:fldChar w:fldCharType="end"/>
      </w:r>
      <w:r>
        <w:rPr>
          <w:rStyle w:val="CharStyle10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"mailto:kornei100@mail.ru" </w:instrText>
      </w:r>
      <w:r>
        <w:fldChar w:fldCharType="separate"/>
      </w:r>
      <w:r>
        <w:rPr>
          <w:rStyle w:val="CharStyle10"/>
          <w:sz w:val="26"/>
          <w:szCs w:val="26"/>
          <w:lang w:val="en-US" w:eastAsia="en-US"/>
        </w:rPr>
        <w:t>kornei100@mail.ru</w:t>
      </w:r>
      <w:r>
        <w:fldChar w:fldCharType="end"/>
      </w:r>
      <w:r>
        <w:rPr>
          <w:rStyle w:val="CharStyle10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"mailto:Ks9@skkb26.ru" </w:instrText>
      </w:r>
      <w:r>
        <w:fldChar w:fldCharType="separate"/>
      </w:r>
      <w:r>
        <w:rPr>
          <w:rStyle w:val="CharStyle10"/>
          <w:sz w:val="26"/>
          <w:szCs w:val="26"/>
          <w:lang w:val="en-US" w:eastAsia="en-US"/>
        </w:rPr>
        <w:t>Ks9@skkb26.ru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  <w:br/>
        <w:t>по делу № 026/06/105-1063/2026</w:t>
        <w:br/>
        <w:t>о нарушении законодательства о закупках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558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15.05.2026 года</w:t>
        <w:tab/>
        <w:t>г. Ставрополь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49" w:val="left"/>
          <w:tab w:pos="5283" w:val="left"/>
          <w:tab w:pos="6608" w:val="left"/>
          <w:tab w:pos="856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антимонопольной службы по Ставропольскому краю Темерханова И.А.;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69" w:val="left"/>
          <w:tab w:pos="5303" w:val="left"/>
          <w:tab w:pos="6628" w:val="left"/>
          <w:tab w:pos="858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антимонопольной службы по Ставропольскому краю Хатуевой А.И.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присутствии представителя заказчика — Кананова К.С.,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>В отсутствии представителей Заявителя,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8"/>
          <w:szCs w:val="28"/>
        </w:rPr>
      </w:pPr>
      <w:bookmarkStart w:id="4" w:name="bookmark4"/>
      <w:r>
        <w:rPr>
          <w:rStyle w:val="CharStyle13"/>
          <w:b/>
          <w:bCs/>
          <w:sz w:val="28"/>
          <w:szCs w:val="28"/>
          <w:u w:val="none"/>
        </w:rPr>
        <w:t>УСТАНОВИЛА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  <w:rPr>
          <w:sz w:val="26"/>
          <w:szCs w:val="26"/>
        </w:rPr>
      </w:pPr>
      <w:r>
        <w:rPr>
          <w:rStyle w:val="CharStyle10"/>
        </w:rPr>
        <w:t xml:space="preserve">В Ставропольское УФАС России поступила жалоба </w:t>
      </w:r>
      <w:r>
        <w:rPr>
          <w:rStyle w:val="CharStyle10"/>
          <w:sz w:val="26"/>
          <w:szCs w:val="26"/>
        </w:rPr>
        <w:t>ИП Бондаренко И.Н. (далее — Заявитель) на действия ГБУЗ СК "Ставропольская краевая клиническая больница" (далее — Заказчик) по факту осуществления закупки путем проведения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10"/>
          <w:sz w:val="26"/>
          <w:szCs w:val="26"/>
        </w:rPr>
        <w:t xml:space="preserve">запроса котировок в электронной форме </w:t>
      </w:r>
      <w:r>
        <w:rPr>
          <w:rStyle w:val="CharStyle10"/>
          <w:sz w:val="26"/>
          <w:szCs w:val="26"/>
          <w:lang w:val="en-US" w:eastAsia="en-US"/>
        </w:rPr>
        <w:t xml:space="preserve">№0321200022026000786 </w:t>
      </w:r>
      <w:r>
        <w:rPr>
          <w:rStyle w:val="CharStyle10"/>
          <w:sz w:val="26"/>
          <w:szCs w:val="26"/>
        </w:rPr>
        <w:t>«Поставка изделий медицинского назначения»</w:t>
      </w:r>
      <w:r>
        <w:rPr>
          <w:rStyle w:val="CharStyle10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0"/>
        </w:rPr>
        <w:t xml:space="preserve">Жалоба в порядке статей </w:t>
      </w:r>
      <w:r>
        <w:rPr>
          <w:rStyle w:val="CharStyle10"/>
          <w:lang w:val="en-US" w:eastAsia="en-US"/>
        </w:rPr>
        <w:t xml:space="preserve">105, 106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Закон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44-ФЗ, Закон о контрактной системе) принята к рассмотрению и назначена на </w:t>
      </w:r>
      <w:r>
        <w:rPr>
          <w:rStyle w:val="CharStyle10"/>
          <w:lang w:val="en-US" w:eastAsia="en-US"/>
        </w:rPr>
        <w:t xml:space="preserve">15.05.2026 </w:t>
      </w:r>
      <w:r>
        <w:rPr>
          <w:rStyle w:val="CharStyle10"/>
        </w:rPr>
        <w:t>г. с вызовом сторон по делу.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0"/>
          <w:lang w:val="en-US" w:eastAsia="en-US"/>
        </w:rPr>
        <w:t xml:space="preserve">15.05.2026 </w:t>
      </w:r>
      <w:r>
        <w:rPr>
          <w:rStyle w:val="CharStyle10"/>
        </w:rPr>
        <w:t xml:space="preserve">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№44-ФЗ внеплановую проверку закупки установила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Заказчиком </w:t>
      </w:r>
      <w:r>
        <w:rPr>
          <w:rStyle w:val="CharStyle10"/>
          <w:lang w:val="en-US" w:eastAsia="en-US"/>
        </w:rPr>
        <w:t xml:space="preserve">30.04.2026 </w:t>
      </w:r>
      <w:r>
        <w:rPr>
          <w:rStyle w:val="CharStyle10"/>
        </w:rPr>
        <w:t xml:space="preserve">г. в ЕИС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  <w:lang w:val="en-US" w:eastAsia="en-US"/>
        </w:rPr>
        <w:t>zakupki.gov.ru</w:t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размещено извещение об осуществлении закупки предметом которой является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</w:t>
      </w:r>
      <w:r>
        <w:rPr>
          <w:rStyle w:val="CharStyle10"/>
          <w:sz w:val="26"/>
          <w:szCs w:val="26"/>
        </w:rPr>
        <w:t>Поставка изделий медицинского назначения</w:t>
      </w:r>
      <w:r>
        <w:rPr>
          <w:rStyle w:val="CharStyle10"/>
        </w:rPr>
        <w:t xml:space="preserve">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Извещение).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0"/>
          <w:sz w:val="26"/>
          <w:szCs w:val="26"/>
        </w:rPr>
        <w:t xml:space="preserve">ИП Бондаренко И.Н. </w:t>
      </w:r>
      <w:r>
        <w:rPr>
          <w:rStyle w:val="CharStyle10"/>
        </w:rPr>
        <w:t>не согласившись с условиями извещения подал жалобу в управление.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8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rStyle w:val="CharStyle10"/>
        </w:rPr>
        <w:t xml:space="preserve">Довод жалобы Заявитель о том, что в составе извещения неправомерно не установлены ограничения закупок товаров, происходящих из иностранных государств, в соответствии с Постановлением Правительства РФ от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2024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не подлежит удовлетворению на основании следующего.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системе, положения 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 принимать меры, устанавливающие: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Согласно пунктом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На основании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Абзацем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и абзацем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установлены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0"/>
          <w:lang w:val="en-US" w:eastAsia="en-US"/>
        </w:rPr>
        <w:t xml:space="preserve">№ 2, </w:t>
      </w:r>
      <w:r>
        <w:rPr>
          <w:rStyle w:val="CharStyle10"/>
        </w:rPr>
        <w:t>и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Комиссией Управления установлено, что согласно описанию объекта закупки Заказчику требуются к поставке стент для коронарных артерий, выделяющий лекарственное средство.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Заказчиком в извещении установлены преимущества, предусмотренные Постановлением </w:t>
      </w:r>
      <w:r>
        <w:rPr>
          <w:rStyle w:val="CharStyle10"/>
          <w:lang w:val="en-US" w:eastAsia="en-US"/>
        </w:rPr>
        <w:t>№ 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По мнению Заявителя, из описания выбранной Заказчиком позиции КТРУ для медицинского изделия предусмотрены формулировки, которые описывают функциональные параметры и особенности строения, которые подтверждают соответствие данных изделия позиции </w:t>
      </w:r>
      <w:r>
        <w:rPr>
          <w:rStyle w:val="CharStyle10"/>
          <w:lang w:val="en-US" w:eastAsia="en-US"/>
        </w:rPr>
        <w:t xml:space="preserve">388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>№ 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Тем самым Заявитель приходит к выводу, что для надлежащего формирования извещения об осуществлении закупки, Заказчику следовало установить защитные меры национального режима в виде ограничений.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В соответствии с подпунктом «д» пункта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позиции приложения </w:t>
      </w:r>
      <w:r>
        <w:rPr>
          <w:rStyle w:val="CharStyle10"/>
          <w:lang w:val="en-US" w:eastAsia="en-US"/>
        </w:rPr>
        <w:t xml:space="preserve">№ 1 </w:t>
      </w:r>
      <w:r>
        <w:rPr>
          <w:rStyle w:val="CharStyle10"/>
        </w:rPr>
        <w:t xml:space="preserve">и 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 xml:space="preserve">2008)», </w:t>
      </w:r>
      <w:r>
        <w:rPr>
          <w:rStyle w:val="CharStyle10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10"/>
          <w:lang w:val="en-US" w:eastAsia="en-US"/>
        </w:rPr>
        <w:t xml:space="preserve">034-2014 </w:t>
      </w:r>
      <w:r>
        <w:rPr>
          <w:rStyle w:val="CharStyle10"/>
        </w:rPr>
        <w:t xml:space="preserve">(КПЕС </w:t>
      </w:r>
      <w:r>
        <w:rPr>
          <w:rStyle w:val="CharStyle10"/>
          <w:lang w:val="en-US" w:eastAsia="en-US"/>
        </w:rPr>
        <w:t xml:space="preserve">2008)». </w:t>
      </w:r>
      <w:r>
        <w:rPr>
          <w:rStyle w:val="CharStyle10"/>
        </w:rPr>
        <w:t>При этом,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Исходя из буквального толкования вышеуказанного, Постановление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применяется, если объект закупки соответствует наименованию и коду товара (или работы, услуги) в приложениях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2, </w:t>
      </w:r>
      <w:r>
        <w:rPr>
          <w:rStyle w:val="CharStyle10"/>
        </w:rPr>
        <w:t xml:space="preserve">а для медицинских изделий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также и коду вида согласно номенклатурной классификации, утвержденной Минздравом.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Кроме того, в соответствии с пунктами </w:t>
      </w:r>
      <w:r>
        <w:rPr>
          <w:rStyle w:val="CharStyle10"/>
          <w:lang w:val="en-US" w:eastAsia="en-US"/>
        </w:rPr>
        <w:t xml:space="preserve">3.2, 3.3 </w:t>
      </w:r>
      <w:r>
        <w:rPr>
          <w:rStyle w:val="CharStyle10"/>
        </w:rPr>
        <w:t xml:space="preserve">информационного письма Минфина России от </w:t>
      </w:r>
      <w:r>
        <w:rPr>
          <w:rStyle w:val="CharStyle10"/>
          <w:lang w:val="en-US" w:eastAsia="en-US"/>
        </w:rPr>
        <w:t xml:space="preserve">31.01.2025 № 24-01-06/8697 </w:t>
      </w:r>
      <w:r>
        <w:rPr>
          <w:rStyle w:val="CharStyle10"/>
        </w:rPr>
        <w:t xml:space="preserve">«О применении положений 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2024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при применении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закупки), наименованиям, указанным в перечнях </w:t>
      </w:r>
      <w:r>
        <w:rPr>
          <w:rStyle w:val="CharStyle10"/>
          <w:lang w:val="en-US" w:eastAsia="en-US"/>
        </w:rPr>
        <w:t>№ 1 - № 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Позиция </w:t>
      </w:r>
      <w:r>
        <w:rPr>
          <w:rStyle w:val="CharStyle10"/>
          <w:lang w:val="en-US" w:eastAsia="en-US"/>
        </w:rPr>
        <w:t xml:space="preserve">388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 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>содержит наименование: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«Боры зубные твердосплавные; головки стоматологические алмазные, в том числе фасонные; емкости для взятия, хранения и транспортировки биологических проб для выполнения клинических лабораторных исследований, а именно пробирки для взятия капиллярной крови, емкости для мочи, кала и мокроты; зеркала гинекологические полимерные по Куско; зонды урогенитальные; иглодержатели микрохирургические; инструменты вспомогательные; инструменты зондирующие,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бужирующие; инструменты многоповерхностного воздействия; инструменты оттесняющие; инструменты режущие и ударные с острой (режущей) кромкой; каналонаполнители; микромоторы пневматические для наконечников стоматологических; модули медицинские климатизированные (чистое помещение); наборы гинекологические смотровые одноразовые стерильные; наконечники для микромоторов; наконечники стоматологические турбинные; ножницы микрохирургические; пинцеты микрохирургические; пульпоэкстракторы; фрезы зуботехнические; иглы корневые».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ГОСТ </w:t>
      </w:r>
      <w:r>
        <w:rPr>
          <w:rStyle w:val="CharStyle10"/>
          <w:lang w:val="en-US" w:eastAsia="en-US"/>
        </w:rPr>
        <w:t xml:space="preserve">25725-89 </w:t>
      </w:r>
      <w:r>
        <w:rPr>
          <w:rStyle w:val="CharStyle10"/>
        </w:rPr>
        <w:t xml:space="preserve">определяет зондирующий медицинский инструмент как медицинский инструмент в виде трубки из металла или полимерного материала для исследования естественных ходов и полостей в организме человека и катетеризации. При этом в раздел «Виды зондирующего и бужирующего медицинского инструмента» ГОСТ </w:t>
      </w:r>
      <w:r>
        <w:rPr>
          <w:rStyle w:val="CharStyle10"/>
          <w:lang w:val="en-US" w:eastAsia="en-US"/>
        </w:rPr>
        <w:t xml:space="preserve">25725-89 </w:t>
      </w:r>
      <w:r>
        <w:rPr>
          <w:rStyle w:val="CharStyle10"/>
        </w:rPr>
        <w:t xml:space="preserve">входит в числе прочего и катетер (пункт </w:t>
      </w:r>
      <w:r>
        <w:rPr>
          <w:rStyle w:val="CharStyle10"/>
          <w:lang w:val="en-US" w:eastAsia="en-US"/>
        </w:rPr>
        <w:t>101).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В понимании ГОСТ </w:t>
      </w:r>
      <w:r>
        <w:rPr>
          <w:rStyle w:val="CharStyle10"/>
          <w:lang w:val="en-US" w:eastAsia="en-US"/>
        </w:rPr>
        <w:t xml:space="preserve">25725-89 </w:t>
      </w:r>
      <w:r>
        <w:rPr>
          <w:rStyle w:val="CharStyle10"/>
        </w:rPr>
        <w:t xml:space="preserve">буж (п. </w:t>
      </w:r>
      <w:r>
        <w:rPr>
          <w:rStyle w:val="CharStyle10"/>
          <w:lang w:val="en-US" w:eastAsia="en-US"/>
        </w:rPr>
        <w:t xml:space="preserve">100) - </w:t>
      </w:r>
      <w:r>
        <w:rPr>
          <w:rStyle w:val="CharStyle10"/>
        </w:rPr>
        <w:t>это бужирующий медицинский инструмент цилиндрической формы с закругленным прямым или изогнутым рабочим концом, предназначенный для механического расширения структур в уретре путем последовательного введения в нее бужей повышающегося калибра, для тоннелизации уретры и для бужирования передней и задней уретры.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Таким образом, согласно положениям приведенного государственного стандарта, катетерами называют медицинские изделия в виде полых трубок, которые вводятся в полости тела, естественные каналы, сосуды и органы с целью выведения из них биологических жидкостей, дренажа, промывания, введения лекарств и медицинских инструментов.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При этом межгосударственный стандарт ГОСТ ИСО </w:t>
      </w:r>
      <w:r>
        <w:rPr>
          <w:rStyle w:val="CharStyle10"/>
          <w:lang w:val="en-US" w:eastAsia="en-US"/>
        </w:rPr>
        <w:t xml:space="preserve">25539-2-2012 </w:t>
      </w:r>
      <w:r>
        <w:rPr>
          <w:rStyle w:val="CharStyle10"/>
        </w:rPr>
        <w:t>«Сердечно</w:t>
        <w:softHyphen/>
        <w:t xml:space="preserve">сосудистые имплантаты. Внутрисосудистые имплантаты. Часть </w:t>
      </w:r>
      <w:r>
        <w:rPr>
          <w:rStyle w:val="CharStyle10"/>
          <w:lang w:val="en-US" w:eastAsia="en-US"/>
        </w:rPr>
        <w:t xml:space="preserve">2. </w:t>
      </w:r>
      <w:r>
        <w:rPr>
          <w:rStyle w:val="CharStyle10"/>
        </w:rPr>
        <w:t xml:space="preserve">Сосудистые стенты»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ГОСТ ИСО </w:t>
      </w:r>
      <w:r>
        <w:rPr>
          <w:rStyle w:val="CharStyle10"/>
          <w:lang w:val="en-US" w:eastAsia="en-US"/>
        </w:rPr>
        <w:t xml:space="preserve">25539-2-2012), </w:t>
      </w:r>
      <w:r>
        <w:rPr>
          <w:rStyle w:val="CharStyle10"/>
        </w:rPr>
        <w:t>в соответствии с которым указанный стент обладает следующим описанием: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  <w:lang w:val="en-US" w:eastAsia="en-US"/>
        </w:rPr>
        <w:t xml:space="preserve">«3.14 </w:t>
      </w:r>
      <w:r>
        <w:rPr>
          <w:rStyle w:val="CharStyle10"/>
        </w:rPr>
        <w:t>стент-система: Сосудистый стент и его система доставки или сосудистый стент, установленный на баллон в соответствии с инструкцией по применению.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  <w:lang w:val="en-US" w:eastAsia="en-US"/>
        </w:rPr>
        <w:t xml:space="preserve">3.15 </w:t>
      </w:r>
      <w:r>
        <w:rPr>
          <w:rStyle w:val="CharStyle10"/>
        </w:rPr>
        <w:t>сосудистый стент, стент, имплантат: Транслюминально располагающийся самораскрывающийся или расширяемый баллоном имплантат, используемый для лечения сосудистых повреждений путем создания механической поддержки (опоры) для обеспечения или сохранения целостности сосуда».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Таким образом, стент установлен на системе доставки баллонного катетера, вместе с этим медицинским изделием является сам стент, поскольку, в соответствии с описанием в ГОСТ ИСО </w:t>
      </w:r>
      <w:r>
        <w:rPr>
          <w:rStyle w:val="CharStyle10"/>
          <w:lang w:val="en-US" w:eastAsia="en-US"/>
        </w:rPr>
        <w:t>25539-2-2012: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  <w:lang w:val="en-US" w:eastAsia="en-US"/>
        </w:rPr>
        <w:t xml:space="preserve">«3.3 </w:t>
      </w:r>
      <w:r>
        <w:rPr>
          <w:rStyle w:val="CharStyle10"/>
        </w:rPr>
        <w:t>система доставки: Система или механизм, используемые для доставки стента в предусмотренную для имплантации позицию и для раскрытия стента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Примечание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Систему доставки удаляют после размещения стента.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Системы доставки включают в себя баллонные катетеры или системы, приводимые в действие механически».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>Таким образом на основании вышеуказанного описания, стент для коронарных артерий также не относится к инструментам зондирующим 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бужирующим.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Следовательно позиция </w:t>
      </w:r>
      <w:r>
        <w:rPr>
          <w:rStyle w:val="CharStyle10"/>
          <w:lang w:val="en-US" w:eastAsia="en-US"/>
        </w:rPr>
        <w:t xml:space="preserve">388 </w:t>
      </w:r>
      <w:r>
        <w:rPr>
          <w:rStyle w:val="CharStyle10"/>
        </w:rPr>
        <w:t>в данном случае неприменима, довод жалобы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3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По доводу жалобы о нарушении правил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КТРУ), Комиссия Управления приходит к выводу о его обоснованности по следующим основаниям.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>Закона №44-ФЗ заказчик обязан использовать каталог товаров, работ, услуг (КТРУ) при описании объекта закупки, если соответствующая позиция включена в каталог.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Заказчиком применен код </w:t>
      </w:r>
      <w:r>
        <w:rPr>
          <w:rStyle w:val="CharStyle10"/>
          <w:lang w:val="en-US" w:eastAsia="en-US"/>
        </w:rPr>
        <w:t>32.50.13.190-02615.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>В извещении установлена характеристика «Материал стента» с значением «Кобальт-хромовый сплав», значение характеристики не может изменяться участником закупки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Согласно информации, содержащейся в позиции КТРУ </w:t>
      </w:r>
      <w:r>
        <w:rPr>
          <w:rStyle w:val="CharStyle10"/>
          <w:lang w:val="en-US" w:eastAsia="en-US"/>
        </w:rPr>
        <w:t xml:space="preserve">32.50.13.190-02615, </w:t>
      </w:r>
      <w:r>
        <w:rPr>
          <w:rStyle w:val="CharStyle10"/>
        </w:rPr>
        <w:t>в описание товара входят, в том числе, необязательная для применения характеристика «Материал стента» со следующими значениями: кобальт-хромовый или кобальт</w:t>
        <w:softHyphen/>
        <w:t>платиновый или платино-хромовый сплав, предполагающими выбор одного из перечисленных значений.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44-ФЗ, пункта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Правил использования КТРУ: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Заказчики обязаны применять информацию, включенную в позицию каталога в соответствии с подпунктами 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«г» и «е»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«з» пункта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>Правил использования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наименование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6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>описание товара, работы, услуги (при наличии такого описания в позиции).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В нарушение указанных требований Заказчиком установлено значение характеристики «Материал стента»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«Кобальт-хромовый сплав», которое не соответствует позиции КТРУ </w:t>
      </w:r>
      <w:r>
        <w:rPr>
          <w:rStyle w:val="CharStyle10"/>
          <w:lang w:val="en-US" w:eastAsia="en-US"/>
        </w:rPr>
        <w:t>32.50.13.190-02615.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Таким образом, действия Заказчика нарушают требования пункта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Правил использования КТРУ, утвержденных Постановлением Правительства РФ от </w:t>
      </w:r>
      <w:r>
        <w:rPr>
          <w:rStyle w:val="CharStyle10"/>
          <w:lang w:val="en-US" w:eastAsia="en-US"/>
        </w:rPr>
        <w:t>08.02.2017 № 145.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0"/>
        </w:rPr>
        <w:t xml:space="preserve">Вместе с тем, поскольку указанное нарушение требований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 не повлияло на проведение закупочной процедуры и подведение ее итогов (заявки на участие в закупке не поступали), оснований для выдачи предписания не имеется.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Комиссия, руководствуясь статьей </w:t>
      </w:r>
      <w:r>
        <w:rPr>
          <w:rStyle w:val="CharStyle10"/>
          <w:lang w:val="en-US" w:eastAsia="en-US"/>
        </w:rPr>
        <w:t xml:space="preserve">99, </w:t>
      </w:r>
      <w:r>
        <w:rPr>
          <w:rStyle w:val="CharStyle10"/>
        </w:rPr>
        <w:t xml:space="preserve">статьей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44-ФЗ,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8"/>
          <w:szCs w:val="28"/>
        </w:rPr>
      </w:pPr>
      <w:bookmarkStart w:id="6" w:name="bookmark6"/>
      <w:r>
        <w:rPr>
          <w:rStyle w:val="CharStyle13"/>
          <w:b/>
          <w:bCs/>
          <w:sz w:val="28"/>
          <w:szCs w:val="28"/>
          <w:u w:val="none"/>
        </w:rPr>
        <w:t xml:space="preserve">РЕШИЛА </w:t>
      </w:r>
      <w:r>
        <w:rPr>
          <w:rStyle w:val="CharStyle13"/>
          <w:b/>
          <w:bCs/>
          <w:sz w:val="28"/>
          <w:szCs w:val="28"/>
          <w:u w:val="none"/>
          <w:lang w:val="en-US" w:eastAsia="en-US"/>
        </w:rPr>
        <w:t>:</w:t>
      </w:r>
      <w:bookmarkEnd w:id="6"/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Признать жалобу ИП Бондаренко И.Н. на действия ГБУЗ СК «Ставропольская краевая клиническая больница» по факту осуществления закупки путем проведения запроса котировок в электронной форме </w:t>
      </w:r>
      <w:r>
        <w:rPr>
          <w:rStyle w:val="CharStyle10"/>
          <w:sz w:val="26"/>
          <w:szCs w:val="26"/>
          <w:lang w:val="en-US" w:eastAsia="en-US"/>
        </w:rPr>
        <w:t xml:space="preserve">№0321200022026000786 </w:t>
      </w:r>
      <w:r>
        <w:rPr>
          <w:rStyle w:val="CharStyle10"/>
          <w:sz w:val="26"/>
          <w:szCs w:val="26"/>
        </w:rPr>
        <w:t xml:space="preserve">«Поставка изделий медицинского назначения»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обоснованной в части второго довода.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По результатам проведения в порядке 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 xml:space="preserve">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внеплановой проверки признать действия заказчика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ГБУЗ СК «Ставропольская краевая клиническая больница», нарушившими часть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Закона №44-ФЗ, </w:t>
      </w:r>
      <w:r>
        <w:rPr>
          <w:rStyle w:val="CharStyle10"/>
          <w:color w:val="111111"/>
        </w:rPr>
        <w:t xml:space="preserve">Постановление Правительства РФ от </w:t>
      </w:r>
      <w:r>
        <w:rPr>
          <w:rStyle w:val="CharStyle10"/>
          <w:color w:val="111111"/>
          <w:lang w:val="en-US" w:eastAsia="en-US"/>
        </w:rPr>
        <w:t xml:space="preserve">08.02.2017 № 145, </w:t>
      </w:r>
      <w:r>
        <w:rPr>
          <w:rStyle w:val="CharStyle10"/>
        </w:rPr>
        <w:t>в связи с тем, что нарушение не повлияло и не могло повлиять на результаты проведения закупки, предписание не выдавать.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8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0"/>
        </w:rPr>
        <w:t xml:space="preserve">Передать материалы дела должностному лицу Ставропольского УФАС России для решения вопроса о возбуждения дела об административном правонарушении по части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7.30.1 </w:t>
      </w:r>
      <w:r>
        <w:rPr>
          <w:rStyle w:val="CharStyle10"/>
        </w:rPr>
        <w:t>КоАП РФ в отношении должностного лица допустившего нарушения Закона №44-ФЗ.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20"/>
        <w:jc w:val="both"/>
      </w:pPr>
      <w:r>
        <w:rPr>
          <w:rStyle w:val="CharStyle1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758825" distL="394970" distR="114300" simplePos="0" relativeHeight="125829385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241300</wp:posOffset>
                </wp:positionV>
                <wp:extent cx="1029970" cy="25019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69999999999999pt;margin-top:19.pt;width:81.100000000000009pt;height:19.699999999999999pt;z-index:-125829368;mso-wrap-distance-left:31.100000000000001pt;mso-wrap-distance-right:9.pt;mso-wrap-distance-bottom:59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Е.А. Соколов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58825" distB="0" distL="114300" distR="114300" simplePos="0" relativeHeight="125829387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1000125</wp:posOffset>
                </wp:positionV>
                <wp:extent cx="1310640" cy="25019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И.А. Темерханов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2.60000000000002pt;margin-top:78.75pt;width:103.2pt;height:19.699999999999999pt;z-index:-125829366;mso-wrap-distance-left:9.pt;mso-wrap-distance-top:59.75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И.А. Темерханов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Председатель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360" w:right="0" w:firstLine="0"/>
        <w:jc w:val="left"/>
      </w:pPr>
      <w:r>
        <w:rPr>
          <w:rStyle w:val="CharStyle10"/>
          <w:color w:val="858484"/>
        </w:rPr>
        <w:t>Моего для поди иен: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23"/>
          <w:b/>
          <w:bCs/>
        </w:rPr>
        <w:t>Соколов Е.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324" w:lineRule="auto"/>
        <w:ind w:left="3360" w:right="0" w:firstLine="20"/>
        <w:jc w:val="left"/>
        <w:rPr>
          <w:sz w:val="26"/>
          <w:szCs w:val="26"/>
        </w:rPr>
      </w:pPr>
      <w:r>
        <w:rPr>
          <w:rStyle w:val="CharStyle10"/>
          <w:color w:val="858484"/>
        </w:rPr>
        <w:t xml:space="preserve">Моего дня подписи: </w:t>
      </w:r>
      <w:r>
        <w:rPr>
          <w:rStyle w:val="CharStyle10"/>
          <w:rFonts w:ascii="Arial" w:eastAsia="Arial" w:hAnsi="Arial" w:cs="Arial"/>
          <w:b/>
          <w:bCs/>
          <w:color w:val="858484"/>
          <w:sz w:val="26"/>
          <w:szCs w:val="26"/>
        </w:rPr>
        <w:t>Темерханов И.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0"/>
        </w:rPr>
        <w:t>А.И. Хатуева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540" w:line="324" w:lineRule="auto"/>
        <w:ind w:left="3360" w:right="0" w:firstLine="20"/>
        <w:jc w:val="left"/>
        <w:rPr>
          <w:sz w:val="26"/>
          <w:szCs w:val="26"/>
        </w:rPr>
      </w:pPr>
      <w:r>
        <w:rPr>
          <w:rStyle w:val="CharStyle10"/>
          <w:color w:val="858484"/>
        </w:rPr>
        <w:t>Моего для поди не и:</w:t>
      </w:r>
      <w:r>
        <w:rPr>
          <w:rStyle w:val="CharStyle10"/>
          <w:color w:val="858484"/>
        </w:rPr>
        <w:t xml:space="preserve"> </w:t>
      </w:r>
      <w:r>
        <w:rPr>
          <w:rStyle w:val="CharStyle10"/>
          <w:rFonts w:ascii="Arial" w:eastAsia="Arial" w:hAnsi="Arial" w:cs="Arial"/>
          <w:b/>
          <w:bCs/>
          <w:color w:val="858484"/>
          <w:sz w:val="26"/>
          <w:szCs w:val="26"/>
        </w:rPr>
        <w:t>Хатуева Л. И.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Исп.Хатуева А.И.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6"/>
        </w:rPr>
        <w:t>тел.(8652) 25-74-05,доб.026-155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97" w:right="536" w:bottom="1301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10005060</wp:posOffset>
              </wp:positionV>
              <wp:extent cx="618490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2026-5766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87.80000000000007pt;width:48.7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2026-5766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9930765</wp:posOffset>
              </wp:positionV>
              <wp:extent cx="618490" cy="12827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2026-5766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75pt;margin-top:781.95000000000005pt;width:48.7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2026-5766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8">
    <w:name w:val="Picture caption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singl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Body text (5)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color w:val="858484"/>
      <w:sz w:val="26"/>
      <w:szCs w:val="26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7">
    <w:name w:val="Picture caption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140" w:line="247" w:lineRule="auto"/>
      <w:ind w:left="5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singl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420"/>
      <w:ind w:left="3360"/>
    </w:pPr>
    <w:rPr>
      <w:rFonts w:ascii="Arial" w:eastAsia="Arial" w:hAnsi="Arial" w:cs="Arial"/>
      <w:b/>
      <w:bCs/>
      <w:i w:val="0"/>
      <w:iCs w:val="0"/>
      <w:smallCaps w:val="0"/>
      <w:strike w:val="0"/>
      <w:color w:val="858484"/>
      <w:sz w:val="26"/>
      <w:szCs w:val="26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